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CE34" w14:textId="77777777" w:rsidR="00577BBE" w:rsidRDefault="00577BBE" w:rsidP="00F7609C">
      <w:pPr>
        <w:pStyle w:val="KonuBal"/>
      </w:pPr>
    </w:p>
    <w:p w14:paraId="4D68B085" w14:textId="77777777" w:rsidR="00577BBE" w:rsidRDefault="00577BBE" w:rsidP="00F7609C">
      <w:pPr>
        <w:pStyle w:val="KonuBal"/>
      </w:pPr>
    </w:p>
    <w:p w14:paraId="19B69C90" w14:textId="34F59BD9" w:rsidR="000B31CB" w:rsidRPr="00CE4D91" w:rsidRDefault="000B31CB" w:rsidP="00F7609C">
      <w:pPr>
        <w:pStyle w:val="KonuBal"/>
      </w:pPr>
      <w:r w:rsidRPr="00CE4D91">
        <w:t xml:space="preserve">Kİtap/bölüm </w:t>
      </w:r>
      <w:r w:rsidRPr="00F7609C">
        <w:t>başlığı</w:t>
      </w:r>
    </w:p>
    <w:p w14:paraId="0DA10014" w14:textId="77777777" w:rsidR="000B31CB" w:rsidRPr="00CE4D91" w:rsidRDefault="000B31CB" w:rsidP="000B31CB">
      <w:pPr>
        <w:pStyle w:val="Yazarlar"/>
        <w:rPr>
          <w:caps/>
          <w:lang w:val="tr-TR"/>
        </w:rPr>
      </w:pPr>
      <w:r w:rsidRPr="00CE4D91">
        <w:rPr>
          <w:lang w:val="tr-TR"/>
        </w:rPr>
        <w:t>Y</w:t>
      </w:r>
      <w:r w:rsidR="005520A8">
        <w:rPr>
          <w:lang w:val="tr-TR"/>
        </w:rPr>
        <w:t>azar1</w:t>
      </w:r>
      <w:r w:rsidR="005520A8" w:rsidRPr="005520A8">
        <w:rPr>
          <w:vertAlign w:val="superscript"/>
          <w:lang w:val="tr-TR"/>
        </w:rPr>
        <w:t>1</w:t>
      </w:r>
      <w:r w:rsidR="005520A8">
        <w:rPr>
          <w:lang w:val="tr-TR"/>
        </w:rPr>
        <w:t>, Yazar2</w:t>
      </w:r>
      <w:r w:rsidRPr="005520A8">
        <w:rPr>
          <w:vertAlign w:val="superscript"/>
          <w:lang w:val="tr-TR"/>
        </w:rPr>
        <w:t>2</w:t>
      </w:r>
      <w:r w:rsidR="005520A8">
        <w:rPr>
          <w:lang w:val="tr-TR"/>
        </w:rPr>
        <w:t>, Yazar3</w:t>
      </w:r>
      <w:r w:rsidR="005520A8" w:rsidRPr="005520A8">
        <w:rPr>
          <w:vertAlign w:val="superscript"/>
          <w:lang w:val="tr-TR"/>
        </w:rPr>
        <w:t>2</w:t>
      </w:r>
    </w:p>
    <w:p w14:paraId="748CC8D8" w14:textId="77777777" w:rsidR="000B31CB" w:rsidRDefault="005520A8" w:rsidP="000B31CB">
      <w:pPr>
        <w:pStyle w:val="Yazarlar"/>
        <w:rPr>
          <w:lang w:val="tr-TR"/>
        </w:rPr>
      </w:pPr>
      <w:r>
        <w:rPr>
          <w:lang w:val="tr-TR"/>
        </w:rPr>
        <w:t xml:space="preserve">1 </w:t>
      </w:r>
      <w:r w:rsidR="000B31CB" w:rsidRPr="00CE4D91">
        <w:rPr>
          <w:lang w:val="tr-TR"/>
        </w:rPr>
        <w:t>Adres bilgileri</w:t>
      </w:r>
    </w:p>
    <w:p w14:paraId="5801EE8B" w14:textId="77777777" w:rsidR="005520A8" w:rsidRPr="00CE4D91" w:rsidRDefault="005520A8" w:rsidP="000B31CB">
      <w:pPr>
        <w:pStyle w:val="Yazarlar"/>
        <w:rPr>
          <w:lang w:val="tr-TR"/>
        </w:rPr>
      </w:pPr>
      <w:r>
        <w:rPr>
          <w:lang w:val="tr-TR"/>
        </w:rPr>
        <w:t>2 Adres bilgileri</w:t>
      </w:r>
    </w:p>
    <w:p w14:paraId="5D292FDF" w14:textId="77777777" w:rsidR="000B31CB" w:rsidRPr="00CE4D91" w:rsidRDefault="000B31CB" w:rsidP="000B31CB">
      <w:pPr>
        <w:pStyle w:val="Yazarlar"/>
        <w:rPr>
          <w:lang w:val="tr-TR"/>
        </w:rPr>
      </w:pPr>
    </w:p>
    <w:p w14:paraId="101E7500" w14:textId="77777777" w:rsidR="000B31CB" w:rsidRPr="00CE4D91" w:rsidRDefault="000B31CB" w:rsidP="000B31CB">
      <w:pPr>
        <w:pStyle w:val="Yazarlar"/>
        <w:rPr>
          <w:lang w:val="tr-TR"/>
        </w:rPr>
      </w:pPr>
    </w:p>
    <w:p w14:paraId="7B7B458E" w14:textId="77777777" w:rsidR="000B31CB" w:rsidRPr="00CE4D91" w:rsidRDefault="000B31CB" w:rsidP="000B31CB">
      <w:pPr>
        <w:pStyle w:val="Yazarlar"/>
        <w:rPr>
          <w:lang w:val="tr-TR"/>
        </w:rPr>
      </w:pPr>
    </w:p>
    <w:p w14:paraId="43286082" w14:textId="77777777" w:rsidR="000B31CB" w:rsidRPr="00CE4D91" w:rsidRDefault="000B31CB" w:rsidP="000B31CB">
      <w:pPr>
        <w:pStyle w:val="Yazarlar"/>
        <w:rPr>
          <w:lang w:val="tr-TR"/>
        </w:rPr>
      </w:pPr>
    </w:p>
    <w:p w14:paraId="7F0B21E1" w14:textId="77777777" w:rsidR="000B31CB" w:rsidRPr="00CE4D91" w:rsidRDefault="000B31CB" w:rsidP="000B31CB">
      <w:pPr>
        <w:overflowPunct/>
        <w:autoSpaceDE/>
        <w:autoSpaceDN/>
        <w:adjustRightInd/>
        <w:spacing w:before="0" w:after="0"/>
        <w:ind w:firstLine="0"/>
        <w:jc w:val="left"/>
        <w:textAlignment w:val="auto"/>
        <w:rPr>
          <w:bCs/>
          <w:color w:val="0070C0"/>
          <w:sz w:val="24"/>
          <w:szCs w:val="24"/>
          <w:lang w:val="tr-TR"/>
        </w:rPr>
      </w:pPr>
      <w:r w:rsidRPr="00CE4D91">
        <w:rPr>
          <w:lang w:val="tr-TR"/>
        </w:rPr>
        <w:br w:type="page"/>
      </w:r>
    </w:p>
    <w:p w14:paraId="691FBFF4" w14:textId="77777777" w:rsidR="000B31CB" w:rsidRPr="00CE4D91" w:rsidRDefault="000B31CB" w:rsidP="00F7609C">
      <w:pPr>
        <w:pStyle w:val="zeteBalk"/>
      </w:pPr>
      <w:r w:rsidRPr="00F7609C">
        <w:lastRenderedPageBreak/>
        <w:t>Önsöz</w:t>
      </w:r>
    </w:p>
    <w:p w14:paraId="0213E05E" w14:textId="77777777" w:rsidR="000B31CB" w:rsidRPr="00F7609C" w:rsidRDefault="000B31CB" w:rsidP="00F7609C">
      <w:pPr>
        <w:pStyle w:val="zetemetin"/>
      </w:pPr>
      <w:r w:rsidRPr="00F7609C">
        <w:t xml:space="preserve">İTÜ Yayınevi tarafından yayımlanacak kitap yazarlarının, (kitap veya derleme kitap için bölüm) taslaklarını Microsoft Word programı ile hazırlamaları için kullanabilecekleri şablondur. </w:t>
      </w:r>
    </w:p>
    <w:p w14:paraId="4F9318C4" w14:textId="77777777" w:rsidR="000B31CB" w:rsidRPr="00CE4D91" w:rsidRDefault="000B31CB" w:rsidP="000B31CB">
      <w:pPr>
        <w:rPr>
          <w:color w:val="000000" w:themeColor="text1"/>
          <w:spacing w:val="-2"/>
          <w:szCs w:val="24"/>
          <w:lang w:val="tr-TR"/>
        </w:rPr>
      </w:pPr>
      <w:r w:rsidRPr="00CE4D91">
        <w:rPr>
          <w:lang w:val="tr-TR"/>
        </w:rPr>
        <w:br w:type="page"/>
      </w:r>
    </w:p>
    <w:sdt>
      <w:sdtPr>
        <w:rPr>
          <w:rFonts w:eastAsia="Times New Roman" w:cs="Times New Roman"/>
          <w:color w:val="auto"/>
          <w:sz w:val="22"/>
          <w:szCs w:val="20"/>
          <w:lang w:val="en-US" w:eastAsia="de-DE"/>
        </w:rPr>
        <w:id w:val="1346289146"/>
        <w:docPartObj>
          <w:docPartGallery w:val="Table of Contents"/>
          <w:docPartUnique/>
        </w:docPartObj>
      </w:sdtPr>
      <w:sdtEndPr>
        <w:rPr>
          <w:b/>
          <w:bCs/>
        </w:rPr>
      </w:sdtEndPr>
      <w:sdtContent>
        <w:p w14:paraId="5929EDE5" w14:textId="77777777" w:rsidR="000B31CB" w:rsidRPr="000D4149" w:rsidRDefault="000B31CB" w:rsidP="000D4149">
          <w:pPr>
            <w:pStyle w:val="TBal"/>
          </w:pPr>
          <w:r w:rsidRPr="000D4149">
            <w:t>İçindekiler</w:t>
          </w:r>
        </w:p>
        <w:p w14:paraId="3898611A" w14:textId="77777777" w:rsidR="00F7609C" w:rsidRDefault="000B31CB">
          <w:pPr>
            <w:pStyle w:val="T1"/>
            <w:tabs>
              <w:tab w:val="left" w:pos="880"/>
              <w:tab w:val="right" w:leader="dot" w:pos="6623"/>
            </w:tabs>
            <w:rPr>
              <w:rFonts w:asciiTheme="minorHAnsi" w:eastAsiaTheme="minorEastAsia" w:hAnsiTheme="minorHAnsi" w:cstheme="minorBidi"/>
              <w:noProof/>
              <w:szCs w:val="22"/>
              <w:lang w:val="tr-TR" w:eastAsia="tr-TR"/>
            </w:rPr>
          </w:pPr>
          <w:r>
            <w:rPr>
              <w:lang w:val="tr-TR"/>
            </w:rPr>
            <w:fldChar w:fldCharType="begin"/>
          </w:r>
          <w:r>
            <w:rPr>
              <w:lang w:val="tr-TR"/>
            </w:rPr>
            <w:instrText xml:space="preserve"> TOC \o "1-3" \h \z \u </w:instrText>
          </w:r>
          <w:r>
            <w:rPr>
              <w:lang w:val="tr-TR"/>
            </w:rPr>
            <w:fldChar w:fldCharType="separate"/>
          </w:r>
          <w:hyperlink w:anchor="_Toc127734959" w:history="1">
            <w:r w:rsidR="00F7609C" w:rsidRPr="000B66A6">
              <w:rPr>
                <w:rStyle w:val="Kpr"/>
                <w:rFonts w:eastAsiaTheme="majorEastAsia"/>
                <w:noProof/>
                <w:lang w:val="tr-TR"/>
              </w:rPr>
              <w:t>1.</w:t>
            </w:r>
            <w:r w:rsidR="00F7609C">
              <w:rPr>
                <w:rFonts w:asciiTheme="minorHAnsi" w:eastAsiaTheme="minorEastAsia" w:hAnsiTheme="minorHAnsi" w:cstheme="minorBidi"/>
                <w:noProof/>
                <w:szCs w:val="22"/>
                <w:lang w:val="tr-TR" w:eastAsia="tr-TR"/>
              </w:rPr>
              <w:tab/>
            </w:r>
            <w:r w:rsidR="00F7609C" w:rsidRPr="000B66A6">
              <w:rPr>
                <w:rStyle w:val="Kpr"/>
                <w:rFonts w:eastAsiaTheme="majorEastAsia"/>
                <w:noProof/>
                <w:lang w:val="tr-TR"/>
              </w:rPr>
              <w:t>Giriş</w:t>
            </w:r>
            <w:r w:rsidR="00F7609C">
              <w:rPr>
                <w:noProof/>
                <w:webHidden/>
              </w:rPr>
              <w:tab/>
            </w:r>
            <w:r w:rsidR="00F7609C">
              <w:rPr>
                <w:noProof/>
                <w:webHidden/>
              </w:rPr>
              <w:fldChar w:fldCharType="begin"/>
            </w:r>
            <w:r w:rsidR="00F7609C">
              <w:rPr>
                <w:noProof/>
                <w:webHidden/>
              </w:rPr>
              <w:instrText xml:space="preserve"> PAGEREF _Toc127734959 \h </w:instrText>
            </w:r>
            <w:r w:rsidR="00F7609C">
              <w:rPr>
                <w:noProof/>
                <w:webHidden/>
              </w:rPr>
            </w:r>
            <w:r w:rsidR="00F7609C">
              <w:rPr>
                <w:noProof/>
                <w:webHidden/>
              </w:rPr>
              <w:fldChar w:fldCharType="separate"/>
            </w:r>
            <w:r w:rsidR="00F7609C">
              <w:rPr>
                <w:noProof/>
                <w:webHidden/>
              </w:rPr>
              <w:t>4</w:t>
            </w:r>
            <w:r w:rsidR="00F7609C">
              <w:rPr>
                <w:noProof/>
                <w:webHidden/>
              </w:rPr>
              <w:fldChar w:fldCharType="end"/>
            </w:r>
          </w:hyperlink>
        </w:p>
        <w:p w14:paraId="48D20666" w14:textId="77777777" w:rsidR="00F7609C" w:rsidRDefault="00AF2443" w:rsidP="000D4149">
          <w:pPr>
            <w:pStyle w:val="T2"/>
            <w:tabs>
              <w:tab w:val="left" w:pos="851"/>
              <w:tab w:val="right" w:leader="dot" w:pos="6623"/>
            </w:tabs>
            <w:rPr>
              <w:rFonts w:asciiTheme="minorHAnsi" w:eastAsiaTheme="minorEastAsia" w:hAnsiTheme="minorHAnsi" w:cstheme="minorBidi"/>
              <w:noProof/>
              <w:szCs w:val="22"/>
              <w:lang w:val="tr-TR" w:eastAsia="tr-TR"/>
            </w:rPr>
          </w:pPr>
          <w:hyperlink w:anchor="_Toc127734960" w:history="1">
            <w:r w:rsidR="00F7609C" w:rsidRPr="000B66A6">
              <w:rPr>
                <w:rStyle w:val="Kpr"/>
                <w:rFonts w:eastAsiaTheme="majorEastAsia"/>
                <w:noProof/>
                <w:lang w:val="tr-TR"/>
              </w:rPr>
              <w:t>1.1 Kitabın Amacı</w:t>
            </w:r>
            <w:r w:rsidR="00F7609C">
              <w:rPr>
                <w:noProof/>
                <w:webHidden/>
              </w:rPr>
              <w:tab/>
            </w:r>
            <w:r w:rsidR="00F7609C">
              <w:rPr>
                <w:noProof/>
                <w:webHidden/>
              </w:rPr>
              <w:fldChar w:fldCharType="begin"/>
            </w:r>
            <w:r w:rsidR="00F7609C">
              <w:rPr>
                <w:noProof/>
                <w:webHidden/>
              </w:rPr>
              <w:instrText xml:space="preserve"> PAGEREF _Toc127734960 \h </w:instrText>
            </w:r>
            <w:r w:rsidR="00F7609C">
              <w:rPr>
                <w:noProof/>
                <w:webHidden/>
              </w:rPr>
            </w:r>
            <w:r w:rsidR="00F7609C">
              <w:rPr>
                <w:noProof/>
                <w:webHidden/>
              </w:rPr>
              <w:fldChar w:fldCharType="separate"/>
            </w:r>
            <w:r w:rsidR="00F7609C">
              <w:rPr>
                <w:noProof/>
                <w:webHidden/>
              </w:rPr>
              <w:t>4</w:t>
            </w:r>
            <w:r w:rsidR="00F7609C">
              <w:rPr>
                <w:noProof/>
                <w:webHidden/>
              </w:rPr>
              <w:fldChar w:fldCharType="end"/>
            </w:r>
          </w:hyperlink>
        </w:p>
        <w:p w14:paraId="3C4C5CBC" w14:textId="77777777" w:rsidR="00F7609C" w:rsidRDefault="00AF2443">
          <w:pPr>
            <w:pStyle w:val="T2"/>
            <w:tabs>
              <w:tab w:val="right" w:leader="dot" w:pos="6623"/>
            </w:tabs>
            <w:rPr>
              <w:rFonts w:asciiTheme="minorHAnsi" w:eastAsiaTheme="minorEastAsia" w:hAnsiTheme="minorHAnsi" w:cstheme="minorBidi"/>
              <w:noProof/>
              <w:szCs w:val="22"/>
              <w:lang w:val="tr-TR" w:eastAsia="tr-TR"/>
            </w:rPr>
          </w:pPr>
          <w:hyperlink w:anchor="_Toc127734961" w:history="1">
            <w:r w:rsidR="00F7609C" w:rsidRPr="000B66A6">
              <w:rPr>
                <w:rStyle w:val="Kpr"/>
                <w:rFonts w:eastAsiaTheme="majorEastAsia"/>
                <w:noProof/>
                <w:lang w:val="tr-TR"/>
              </w:rPr>
              <w:t>1.2 Yazım Süreci</w:t>
            </w:r>
            <w:r w:rsidR="00F7609C">
              <w:rPr>
                <w:noProof/>
                <w:webHidden/>
              </w:rPr>
              <w:tab/>
            </w:r>
            <w:r w:rsidR="00F7609C">
              <w:rPr>
                <w:noProof/>
                <w:webHidden/>
              </w:rPr>
              <w:fldChar w:fldCharType="begin"/>
            </w:r>
            <w:r w:rsidR="00F7609C">
              <w:rPr>
                <w:noProof/>
                <w:webHidden/>
              </w:rPr>
              <w:instrText xml:space="preserve"> PAGEREF _Toc127734961 \h </w:instrText>
            </w:r>
            <w:r w:rsidR="00F7609C">
              <w:rPr>
                <w:noProof/>
                <w:webHidden/>
              </w:rPr>
            </w:r>
            <w:r w:rsidR="00F7609C">
              <w:rPr>
                <w:noProof/>
                <w:webHidden/>
              </w:rPr>
              <w:fldChar w:fldCharType="separate"/>
            </w:r>
            <w:r w:rsidR="00F7609C">
              <w:rPr>
                <w:noProof/>
                <w:webHidden/>
              </w:rPr>
              <w:t>4</w:t>
            </w:r>
            <w:r w:rsidR="00F7609C">
              <w:rPr>
                <w:noProof/>
                <w:webHidden/>
              </w:rPr>
              <w:fldChar w:fldCharType="end"/>
            </w:r>
          </w:hyperlink>
        </w:p>
        <w:p w14:paraId="588E5E6E" w14:textId="77777777" w:rsidR="00F7609C" w:rsidRDefault="00AF2443">
          <w:pPr>
            <w:pStyle w:val="T1"/>
            <w:tabs>
              <w:tab w:val="left" w:pos="880"/>
              <w:tab w:val="right" w:leader="dot" w:pos="6623"/>
            </w:tabs>
            <w:rPr>
              <w:rFonts w:asciiTheme="minorHAnsi" w:eastAsiaTheme="minorEastAsia" w:hAnsiTheme="minorHAnsi" w:cstheme="minorBidi"/>
              <w:noProof/>
              <w:szCs w:val="22"/>
              <w:lang w:val="tr-TR" w:eastAsia="tr-TR"/>
            </w:rPr>
          </w:pPr>
          <w:hyperlink w:anchor="_Toc127734962" w:history="1">
            <w:r w:rsidR="00F7609C" w:rsidRPr="000B66A6">
              <w:rPr>
                <w:rStyle w:val="Kpr"/>
                <w:rFonts w:eastAsiaTheme="majorEastAsia"/>
                <w:noProof/>
                <w:lang w:val="tr-TR"/>
              </w:rPr>
              <w:t>2.</w:t>
            </w:r>
            <w:r w:rsidR="00F7609C">
              <w:rPr>
                <w:rFonts w:asciiTheme="minorHAnsi" w:eastAsiaTheme="minorEastAsia" w:hAnsiTheme="minorHAnsi" w:cstheme="minorBidi"/>
                <w:noProof/>
                <w:szCs w:val="22"/>
                <w:lang w:val="tr-TR" w:eastAsia="tr-TR"/>
              </w:rPr>
              <w:tab/>
            </w:r>
            <w:r w:rsidR="00F7609C" w:rsidRPr="000B66A6">
              <w:rPr>
                <w:rStyle w:val="Kpr"/>
                <w:rFonts w:eastAsiaTheme="majorEastAsia"/>
                <w:noProof/>
                <w:lang w:val="tr-TR"/>
              </w:rPr>
              <w:t>Şablon Kullanımı</w:t>
            </w:r>
            <w:r w:rsidR="00F7609C">
              <w:rPr>
                <w:noProof/>
                <w:webHidden/>
              </w:rPr>
              <w:tab/>
            </w:r>
            <w:r w:rsidR="00F7609C">
              <w:rPr>
                <w:noProof/>
                <w:webHidden/>
              </w:rPr>
              <w:fldChar w:fldCharType="begin"/>
            </w:r>
            <w:r w:rsidR="00F7609C">
              <w:rPr>
                <w:noProof/>
                <w:webHidden/>
              </w:rPr>
              <w:instrText xml:space="preserve"> PAGEREF _Toc127734962 \h </w:instrText>
            </w:r>
            <w:r w:rsidR="00F7609C">
              <w:rPr>
                <w:noProof/>
                <w:webHidden/>
              </w:rPr>
            </w:r>
            <w:r w:rsidR="00F7609C">
              <w:rPr>
                <w:noProof/>
                <w:webHidden/>
              </w:rPr>
              <w:fldChar w:fldCharType="separate"/>
            </w:r>
            <w:r w:rsidR="00F7609C">
              <w:rPr>
                <w:noProof/>
                <w:webHidden/>
              </w:rPr>
              <w:t>4</w:t>
            </w:r>
            <w:r w:rsidR="00F7609C">
              <w:rPr>
                <w:noProof/>
                <w:webHidden/>
              </w:rPr>
              <w:fldChar w:fldCharType="end"/>
            </w:r>
          </w:hyperlink>
        </w:p>
        <w:p w14:paraId="68C97C66" w14:textId="77777777" w:rsidR="00F7609C" w:rsidRDefault="00AF2443">
          <w:pPr>
            <w:pStyle w:val="T1"/>
            <w:tabs>
              <w:tab w:val="left" w:pos="880"/>
              <w:tab w:val="right" w:leader="dot" w:pos="6623"/>
            </w:tabs>
            <w:rPr>
              <w:rFonts w:asciiTheme="minorHAnsi" w:eastAsiaTheme="minorEastAsia" w:hAnsiTheme="minorHAnsi" w:cstheme="minorBidi"/>
              <w:noProof/>
              <w:szCs w:val="22"/>
              <w:lang w:val="tr-TR" w:eastAsia="tr-TR"/>
            </w:rPr>
          </w:pPr>
          <w:hyperlink w:anchor="_Toc127734963" w:history="1">
            <w:r w:rsidR="00F7609C" w:rsidRPr="000B66A6">
              <w:rPr>
                <w:rStyle w:val="Kpr"/>
                <w:rFonts w:eastAsiaTheme="majorEastAsia"/>
                <w:noProof/>
                <w:lang w:val="tr-TR"/>
              </w:rPr>
              <w:t>3.</w:t>
            </w:r>
            <w:r w:rsidR="00F7609C">
              <w:rPr>
                <w:rFonts w:asciiTheme="minorHAnsi" w:eastAsiaTheme="minorEastAsia" w:hAnsiTheme="minorHAnsi" w:cstheme="minorBidi"/>
                <w:noProof/>
                <w:szCs w:val="22"/>
                <w:lang w:val="tr-TR" w:eastAsia="tr-TR"/>
              </w:rPr>
              <w:tab/>
            </w:r>
            <w:r w:rsidR="00F7609C" w:rsidRPr="000B66A6">
              <w:rPr>
                <w:rStyle w:val="Kpr"/>
                <w:rFonts w:eastAsiaTheme="majorEastAsia"/>
                <w:noProof/>
                <w:lang w:val="tr-TR"/>
              </w:rPr>
              <w:t>Şekil, Tablo ve Kaynakça</w:t>
            </w:r>
            <w:r w:rsidR="00F7609C">
              <w:rPr>
                <w:noProof/>
                <w:webHidden/>
              </w:rPr>
              <w:tab/>
            </w:r>
            <w:r w:rsidR="00F7609C">
              <w:rPr>
                <w:noProof/>
                <w:webHidden/>
              </w:rPr>
              <w:fldChar w:fldCharType="begin"/>
            </w:r>
            <w:r w:rsidR="00F7609C">
              <w:rPr>
                <w:noProof/>
                <w:webHidden/>
              </w:rPr>
              <w:instrText xml:space="preserve"> PAGEREF _Toc127734963 \h </w:instrText>
            </w:r>
            <w:r w:rsidR="00F7609C">
              <w:rPr>
                <w:noProof/>
                <w:webHidden/>
              </w:rPr>
            </w:r>
            <w:r w:rsidR="00F7609C">
              <w:rPr>
                <w:noProof/>
                <w:webHidden/>
              </w:rPr>
              <w:fldChar w:fldCharType="separate"/>
            </w:r>
            <w:r w:rsidR="00F7609C">
              <w:rPr>
                <w:noProof/>
                <w:webHidden/>
              </w:rPr>
              <w:t>5</w:t>
            </w:r>
            <w:r w:rsidR="00F7609C">
              <w:rPr>
                <w:noProof/>
                <w:webHidden/>
              </w:rPr>
              <w:fldChar w:fldCharType="end"/>
            </w:r>
          </w:hyperlink>
        </w:p>
        <w:p w14:paraId="14B6381D" w14:textId="77777777" w:rsidR="000B31CB" w:rsidRPr="00CE4D91" w:rsidRDefault="000B31CB" w:rsidP="000B31CB">
          <w:pPr>
            <w:rPr>
              <w:b/>
              <w:bCs/>
              <w:lang w:val="tr-TR"/>
            </w:rPr>
          </w:pPr>
          <w:r>
            <w:rPr>
              <w:lang w:val="tr-TR"/>
            </w:rPr>
            <w:fldChar w:fldCharType="end"/>
          </w:r>
        </w:p>
      </w:sdtContent>
    </w:sdt>
    <w:p w14:paraId="2D9368F5" w14:textId="77777777" w:rsidR="000B31CB" w:rsidRPr="00CE4D91" w:rsidRDefault="000B31CB" w:rsidP="000B31CB">
      <w:pPr>
        <w:overflowPunct/>
        <w:autoSpaceDE/>
        <w:autoSpaceDN/>
        <w:adjustRightInd/>
        <w:spacing w:before="0" w:after="0"/>
        <w:ind w:firstLine="0"/>
        <w:jc w:val="left"/>
        <w:textAlignment w:val="auto"/>
        <w:rPr>
          <w:b/>
          <w:bCs/>
          <w:lang w:val="tr-TR"/>
        </w:rPr>
      </w:pPr>
      <w:r w:rsidRPr="00CE4D91">
        <w:rPr>
          <w:b/>
          <w:bCs/>
          <w:lang w:val="tr-TR"/>
        </w:rPr>
        <w:br w:type="page"/>
      </w:r>
    </w:p>
    <w:p w14:paraId="0B2E503B" w14:textId="77777777" w:rsidR="000B31CB" w:rsidRPr="00CE4D91" w:rsidRDefault="000B31CB" w:rsidP="000B31CB">
      <w:pPr>
        <w:pStyle w:val="Balk1"/>
        <w:rPr>
          <w:lang w:val="tr-TR"/>
        </w:rPr>
      </w:pPr>
      <w:bookmarkStart w:id="0" w:name="_Toc127734959"/>
      <w:r w:rsidRPr="00CE4D91">
        <w:rPr>
          <w:lang w:val="tr-TR"/>
        </w:rPr>
        <w:lastRenderedPageBreak/>
        <w:t>G</w:t>
      </w:r>
      <w:r>
        <w:rPr>
          <w:lang w:val="tr-TR"/>
        </w:rPr>
        <w:t>iriş</w:t>
      </w:r>
      <w:bookmarkEnd w:id="0"/>
    </w:p>
    <w:p w14:paraId="0AC89704" w14:textId="77777777" w:rsidR="000B31CB" w:rsidRPr="00CE4D91" w:rsidRDefault="000B31CB" w:rsidP="000B31CB">
      <w:pPr>
        <w:pStyle w:val="Balk2"/>
        <w:rPr>
          <w:lang w:val="tr-TR"/>
        </w:rPr>
      </w:pPr>
      <w:bookmarkStart w:id="1" w:name="_Toc127734960"/>
      <w:r w:rsidRPr="00CE4D91">
        <w:rPr>
          <w:lang w:val="tr-TR"/>
        </w:rPr>
        <w:t>1.1 Kitabın Amacı</w:t>
      </w:r>
      <w:bookmarkEnd w:id="1"/>
    </w:p>
    <w:p w14:paraId="4C56350A" w14:textId="77777777" w:rsidR="000B31CB" w:rsidRPr="00CE4D91" w:rsidRDefault="000B31CB" w:rsidP="000B31CB">
      <w:pPr>
        <w:rPr>
          <w:lang w:val="tr-TR"/>
        </w:rPr>
      </w:pPr>
      <w:r w:rsidRPr="00CE4D91">
        <w:rPr>
          <w:lang w:val="tr-TR"/>
        </w:rPr>
        <w:t>Kitabın ana metni Paragraflar iki yana dayılı olacak şekilde 11 punto ile yazılmalıdır. Yazı tipi “Times New Roman” olmalıdır. Satırlar arasında yarım satırlık (6 pt) bir boşluk bırakılmalıdır. Paragraflar arasında boş satır bırakılmamalıdır. Bir kelimenin kullanım şekli Türk Dil Kurumu Yazım Kılavuzunda kullanıldığı gibi olmalıdır.</w:t>
      </w:r>
    </w:p>
    <w:p w14:paraId="223DB081" w14:textId="77777777" w:rsidR="000B31CB" w:rsidRPr="00CE4D91" w:rsidRDefault="000B31CB" w:rsidP="000B31CB">
      <w:pPr>
        <w:pStyle w:val="Balk2"/>
        <w:rPr>
          <w:lang w:val="tr-TR"/>
        </w:rPr>
      </w:pPr>
      <w:bookmarkStart w:id="2" w:name="_Toc127734961"/>
      <w:r w:rsidRPr="00CE4D91">
        <w:rPr>
          <w:lang w:val="tr-TR"/>
        </w:rPr>
        <w:t>1.2 Yazım Süreci</w:t>
      </w:r>
      <w:bookmarkEnd w:id="2"/>
    </w:p>
    <w:p w14:paraId="33A8FF9C" w14:textId="77777777" w:rsidR="000B31CB" w:rsidRPr="00CE4D91" w:rsidRDefault="000B31CB" w:rsidP="000B31CB">
      <w:pPr>
        <w:rPr>
          <w:lang w:val="tr-TR"/>
        </w:rPr>
      </w:pPr>
      <w:r w:rsidRPr="00CE4D91">
        <w:rPr>
          <w:lang w:val="tr-TR"/>
        </w:rPr>
        <w:t>Her ana konu başlığı 14 punto ile yazılmalıdır. Bununla beraber her kelime büyük harflerle ve kalın (bold) olacak şekilde yazılmalıdır. Her ana konu başlığı numaralandırılmalıdır. Numaralandırmalar sadece rakamlar ile yapılmalıdır. Roman rakamları, harfler vs. diğerleri kullanılmamalıdır.</w:t>
      </w:r>
    </w:p>
    <w:p w14:paraId="7562C6BB" w14:textId="77777777" w:rsidR="000B31CB" w:rsidRPr="00CE4D91" w:rsidRDefault="000B31CB" w:rsidP="000B31CB">
      <w:pPr>
        <w:rPr>
          <w:lang w:val="tr-TR"/>
        </w:rPr>
      </w:pPr>
      <w:r w:rsidRPr="00CE4D91">
        <w:rPr>
          <w:lang w:val="tr-TR"/>
        </w:rPr>
        <w:t>Ana konu başlıklarında herhangi bir girinti olmamalıdır.</w:t>
      </w:r>
    </w:p>
    <w:p w14:paraId="696EE393" w14:textId="77777777" w:rsidR="000B31CB" w:rsidRPr="00CE4D91" w:rsidRDefault="000B31CB" w:rsidP="000B31CB">
      <w:pPr>
        <w:rPr>
          <w:lang w:val="tr-TR"/>
        </w:rPr>
      </w:pPr>
      <w:r w:rsidRPr="00CE4D91">
        <w:rPr>
          <w:lang w:val="tr-TR"/>
        </w:rPr>
        <w:t>Birinci dereceden alt konu başlığı 12 punto ile yazılmalıdır. Bununla beraber her kelimenin ilk harfi büyük diğerleri küçük olmalıdır ve alt konu başlığı kalın olacak şekilde yazılmalıdır. Her alt konu başlığı numaralandırılmalıdır. Mesela 1. Ana konu başlığının altındaki 1. Birinci dereceden başlık için 1.1. kullanılır. Devamı 1.2., 1.3. ve devamı şeklinde olmalıdır. Numaralandırmalar sadece rakamlar ile yapılmalıdır. Roman rakamları, harfler vs. diğerleri kullanılmamalıdır.</w:t>
      </w:r>
    </w:p>
    <w:p w14:paraId="5E1D711E" w14:textId="77777777" w:rsidR="000B31CB" w:rsidRPr="00CE4D91" w:rsidRDefault="000B31CB" w:rsidP="000B31CB">
      <w:pPr>
        <w:rPr>
          <w:lang w:val="tr-TR"/>
        </w:rPr>
      </w:pPr>
      <w:r w:rsidRPr="00CE4D91">
        <w:rPr>
          <w:lang w:val="tr-TR"/>
        </w:rPr>
        <w:t xml:space="preserve">Birinci dereceden alt konu başlığında girinti olmamalıdır. Birinci dereceden alt konu başlıklarından önce ve sonra (12 pt) bırakılmalıdır. İkinci ve üçüncü dereceden alt konu başlığı 11 punto ile yazılmalıdır. Bununla beraber her kelimenin ilk harfi büyük diğerleri küçük olmalıdır ve alt konu başlığı kalın olacak şekilde yazılmalıdır. Her alt konu </w:t>
      </w:r>
      <w:r w:rsidRPr="00CE4D91">
        <w:rPr>
          <w:lang w:val="tr-TR"/>
        </w:rPr>
        <w:lastRenderedPageBreak/>
        <w:t>başlığı numaralandırılmalıdır. İkincil başlık için 1.1.1. gibi 3 rakam, üçüncül başlıkları için 1.1.1.1. gibi 4 rakam kullanılmalı ve ardışık olarak devam etmelidir. Numaralandırmalar sadece rakamlar ile yapılmalıdır. Roman rakamları, harfler vs. diğerleri kullanılmamalıdır. En fazla 3. Dereceden alt konu başlığı yazılabilir.</w:t>
      </w:r>
    </w:p>
    <w:p w14:paraId="2A896943" w14:textId="77777777" w:rsidR="000B31CB" w:rsidRPr="00CE4D91" w:rsidRDefault="000B31CB" w:rsidP="000B31CB">
      <w:pPr>
        <w:rPr>
          <w:lang w:val="tr-TR"/>
        </w:rPr>
      </w:pPr>
      <w:r w:rsidRPr="00CE4D91">
        <w:rPr>
          <w:lang w:val="tr-TR"/>
        </w:rPr>
        <w:t>Başlıkların öncesinde ve sonrasında boş satır bırakılmaz.</w:t>
      </w:r>
    </w:p>
    <w:p w14:paraId="7497EF40" w14:textId="77777777" w:rsidR="000B31CB" w:rsidRPr="00CE4D91" w:rsidRDefault="000B31CB" w:rsidP="000B31CB">
      <w:pPr>
        <w:pStyle w:val="Balk1"/>
        <w:rPr>
          <w:lang w:val="tr-TR"/>
        </w:rPr>
      </w:pPr>
      <w:bookmarkStart w:id="3" w:name="_Toc127734962"/>
      <w:r w:rsidRPr="00CE4D91">
        <w:rPr>
          <w:lang w:val="tr-TR"/>
        </w:rPr>
        <w:t>Şablon Kullanımı</w:t>
      </w:r>
      <w:bookmarkEnd w:id="3"/>
    </w:p>
    <w:p w14:paraId="03C26822" w14:textId="77777777" w:rsidR="000B31CB" w:rsidRDefault="000B31CB" w:rsidP="000B31CB">
      <w:pPr>
        <w:rPr>
          <w:lang w:val="tr-TR"/>
        </w:rPr>
      </w:pPr>
      <w:r w:rsidRPr="00CE4D91">
        <w:rPr>
          <w:lang w:val="tr-TR"/>
        </w:rPr>
        <w:t xml:space="preserve">İTÜYayınevi web sayfasından indirmiş olduğunuz bu şablonu kullanarak, dizgi öncesi kitap taslağınızı microsoft word programı ile </w:t>
      </w:r>
      <w:r w:rsidR="00162878">
        <w:rPr>
          <w:lang w:val="tr-TR"/>
        </w:rPr>
        <w:t>hazırlayabilirsiniz</w:t>
      </w:r>
      <w:r w:rsidRPr="00CE4D91">
        <w:rPr>
          <w:lang w:val="tr-TR"/>
        </w:rPr>
        <w:t xml:space="preserve">. </w:t>
      </w:r>
    </w:p>
    <w:p w14:paraId="542199D2" w14:textId="77777777" w:rsidR="00162878" w:rsidRDefault="00162878" w:rsidP="000B31CB">
      <w:pPr>
        <w:rPr>
          <w:lang w:val="tr-TR"/>
        </w:rPr>
      </w:pPr>
      <w:r w:rsidRPr="00162878">
        <w:rPr>
          <w:lang w:val="tr-TR"/>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w:t>
      </w:r>
    </w:p>
    <w:p w14:paraId="2816F358" w14:textId="77777777" w:rsidR="0075388E" w:rsidRPr="009F238D" w:rsidRDefault="0075388E" w:rsidP="0075388E">
      <w:pPr>
        <w:pStyle w:val="DIPNOT"/>
      </w:pPr>
      <w:r w:rsidRPr="009F238D">
        <w:t>Dipnot içeren bir metin</w:t>
      </w:r>
      <w:r w:rsidRPr="009F238D">
        <w:rPr>
          <w:rStyle w:val="DipnotBavurusu"/>
          <w:i/>
          <w:iCs/>
        </w:rPr>
        <w:footnoteReference w:id="1"/>
      </w:r>
    </w:p>
    <w:p w14:paraId="13823995" w14:textId="77777777" w:rsidR="000B31CB" w:rsidRPr="0075388E" w:rsidRDefault="00F7609C" w:rsidP="0075388E">
      <w:pPr>
        <w:pStyle w:val="Balk1"/>
        <w:rPr>
          <w:lang w:val="tr-TR"/>
        </w:rPr>
      </w:pPr>
      <w:bookmarkStart w:id="4" w:name="_Toc127734963"/>
      <w:r>
        <w:rPr>
          <w:lang w:val="tr-TR"/>
        </w:rPr>
        <w:lastRenderedPageBreak/>
        <w:t>Şekil, Tablo ve Kaynakça</w:t>
      </w:r>
      <w:bookmarkEnd w:id="4"/>
      <w:r w:rsidR="00162878" w:rsidRPr="0075388E">
        <w:rPr>
          <w:lang w:val="tr-TR"/>
        </w:rPr>
        <w:tab/>
      </w:r>
    </w:p>
    <w:p w14:paraId="05E7CEF7" w14:textId="77777777" w:rsidR="000B31CB" w:rsidRDefault="00162878" w:rsidP="00F7609C">
      <w:pPr>
        <w:jc w:val="center"/>
        <w:rPr>
          <w:lang w:val="tr-TR"/>
        </w:rPr>
      </w:pPr>
      <w:r>
        <w:rPr>
          <w:noProof/>
          <w:lang w:eastAsia="tr-TR"/>
        </w:rPr>
        <w:drawing>
          <wp:inline distT="0" distB="0" distL="0" distR="0" wp14:anchorId="0AF9CAF7" wp14:editId="2BEC0C65">
            <wp:extent cx="2095500" cy="141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flower-1378227891t6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122" cy="1413418"/>
                    </a:xfrm>
                    <a:prstGeom prst="rect">
                      <a:avLst/>
                    </a:prstGeom>
                  </pic:spPr>
                </pic:pic>
              </a:graphicData>
            </a:graphic>
          </wp:inline>
        </w:drawing>
      </w:r>
    </w:p>
    <w:p w14:paraId="28FB984C" w14:textId="77777777" w:rsidR="00162878" w:rsidRPr="00CE4D91" w:rsidRDefault="00162878" w:rsidP="00162878">
      <w:pPr>
        <w:pStyle w:val="ekilAltbal"/>
        <w:rPr>
          <w:lang w:val="tr-TR"/>
        </w:rPr>
      </w:pPr>
      <w:r w:rsidRPr="00162878">
        <w:rPr>
          <w:lang w:val="tr-TR"/>
        </w:rPr>
        <w:t>Çiçek resmi.</w:t>
      </w:r>
    </w:p>
    <w:p w14:paraId="570E68C9" w14:textId="77777777" w:rsidR="000B31CB" w:rsidRDefault="000B31CB" w:rsidP="000B31CB">
      <w:pPr>
        <w:rPr>
          <w:lang w:val="tr-TR"/>
        </w:rPr>
      </w:pPr>
    </w:p>
    <w:p w14:paraId="5ED6C44E" w14:textId="77777777" w:rsidR="00162878" w:rsidRDefault="00162878" w:rsidP="00162878">
      <w:pPr>
        <w:pStyle w:val="TablostYaz"/>
      </w:pPr>
      <w:r w:rsidRPr="00162878">
        <w:t>Haftanın Günleri</w:t>
      </w:r>
    </w:p>
    <w:tbl>
      <w:tblPr>
        <w:tblStyle w:val="TabloKlavuzu"/>
        <w:tblW w:w="5648" w:type="pct"/>
        <w:jc w:val="center"/>
        <w:tblLook w:val="04A0" w:firstRow="1" w:lastRow="0" w:firstColumn="1" w:lastColumn="0" w:noHBand="0" w:noVBand="1"/>
      </w:tblPr>
      <w:tblGrid>
        <w:gridCol w:w="1021"/>
        <w:gridCol w:w="1033"/>
        <w:gridCol w:w="581"/>
        <w:gridCol w:w="1118"/>
        <w:gridCol w:w="1094"/>
        <w:gridCol w:w="764"/>
        <w:gridCol w:w="1143"/>
        <w:gridCol w:w="727"/>
      </w:tblGrid>
      <w:tr w:rsidR="00F7609C" w:rsidRPr="00F7609C" w14:paraId="56849E1F" w14:textId="77777777" w:rsidTr="0075388E">
        <w:trPr>
          <w:jc w:val="center"/>
        </w:trPr>
        <w:tc>
          <w:tcPr>
            <w:tcW w:w="682" w:type="pct"/>
          </w:tcPr>
          <w:p w14:paraId="7035C3A4" w14:textId="77777777" w:rsidR="00F7609C" w:rsidRPr="00F7609C" w:rsidRDefault="00F7609C" w:rsidP="00F7609C">
            <w:pPr>
              <w:ind w:firstLine="22"/>
            </w:pPr>
            <w:r w:rsidRPr="00F7609C">
              <w:t>Gün/saat</w:t>
            </w:r>
          </w:p>
        </w:tc>
        <w:tc>
          <w:tcPr>
            <w:tcW w:w="690" w:type="pct"/>
          </w:tcPr>
          <w:p w14:paraId="599F6C94" w14:textId="77777777" w:rsidR="00F7609C" w:rsidRPr="00F7609C" w:rsidRDefault="00F7609C" w:rsidP="00F7609C">
            <w:pPr>
              <w:ind w:firstLine="22"/>
            </w:pPr>
            <w:r w:rsidRPr="00F7609C">
              <w:t>Pazartesi</w:t>
            </w:r>
          </w:p>
        </w:tc>
        <w:tc>
          <w:tcPr>
            <w:tcW w:w="388" w:type="pct"/>
          </w:tcPr>
          <w:p w14:paraId="5415494C" w14:textId="77777777" w:rsidR="00F7609C" w:rsidRPr="00F7609C" w:rsidRDefault="00F7609C" w:rsidP="00F7609C">
            <w:pPr>
              <w:ind w:firstLine="22"/>
            </w:pPr>
            <w:r w:rsidRPr="00F7609C">
              <w:t>Salı</w:t>
            </w:r>
          </w:p>
        </w:tc>
        <w:tc>
          <w:tcPr>
            <w:tcW w:w="747" w:type="pct"/>
          </w:tcPr>
          <w:p w14:paraId="4FA9D927" w14:textId="77777777" w:rsidR="00F7609C" w:rsidRPr="00F7609C" w:rsidRDefault="00F7609C" w:rsidP="00F7609C">
            <w:pPr>
              <w:ind w:firstLine="22"/>
            </w:pPr>
            <w:r w:rsidRPr="00F7609C">
              <w:t>Çarşamba</w:t>
            </w:r>
          </w:p>
        </w:tc>
        <w:tc>
          <w:tcPr>
            <w:tcW w:w="731" w:type="pct"/>
          </w:tcPr>
          <w:p w14:paraId="41FC8043" w14:textId="77777777" w:rsidR="00F7609C" w:rsidRPr="00F7609C" w:rsidRDefault="00F7609C" w:rsidP="00F7609C">
            <w:pPr>
              <w:ind w:firstLine="22"/>
            </w:pPr>
            <w:r w:rsidRPr="00F7609C">
              <w:t>Perşembe</w:t>
            </w:r>
          </w:p>
        </w:tc>
        <w:tc>
          <w:tcPr>
            <w:tcW w:w="511" w:type="pct"/>
          </w:tcPr>
          <w:p w14:paraId="0ED1750B" w14:textId="77777777" w:rsidR="00F7609C" w:rsidRPr="00F7609C" w:rsidRDefault="00F7609C" w:rsidP="00F7609C">
            <w:pPr>
              <w:ind w:firstLine="22"/>
            </w:pPr>
            <w:r w:rsidRPr="00F7609C">
              <w:t>Cuma</w:t>
            </w:r>
          </w:p>
        </w:tc>
        <w:tc>
          <w:tcPr>
            <w:tcW w:w="764" w:type="pct"/>
          </w:tcPr>
          <w:p w14:paraId="1483CD4A" w14:textId="77777777" w:rsidR="00F7609C" w:rsidRPr="00F7609C" w:rsidRDefault="00F7609C" w:rsidP="00F7609C">
            <w:pPr>
              <w:ind w:firstLine="22"/>
            </w:pPr>
            <w:r w:rsidRPr="00F7609C">
              <w:t>Cumartesi</w:t>
            </w:r>
          </w:p>
        </w:tc>
        <w:tc>
          <w:tcPr>
            <w:tcW w:w="486" w:type="pct"/>
          </w:tcPr>
          <w:p w14:paraId="1F673C64" w14:textId="77777777" w:rsidR="00F7609C" w:rsidRPr="00F7609C" w:rsidRDefault="00F7609C" w:rsidP="00F7609C">
            <w:pPr>
              <w:ind w:firstLine="22"/>
            </w:pPr>
            <w:r w:rsidRPr="00F7609C">
              <w:t>Pazar</w:t>
            </w:r>
          </w:p>
        </w:tc>
      </w:tr>
      <w:tr w:rsidR="00F7609C" w:rsidRPr="00F7609C" w14:paraId="47ECA9BE" w14:textId="77777777" w:rsidTr="0075388E">
        <w:trPr>
          <w:jc w:val="center"/>
        </w:trPr>
        <w:tc>
          <w:tcPr>
            <w:tcW w:w="682" w:type="pct"/>
          </w:tcPr>
          <w:p w14:paraId="38B2E447" w14:textId="77777777" w:rsidR="00F7609C" w:rsidRPr="00F7609C" w:rsidRDefault="00F7609C" w:rsidP="00F7609C">
            <w:pPr>
              <w:ind w:firstLine="22"/>
            </w:pPr>
            <w:r w:rsidRPr="00F7609C">
              <w:t>08:30-09:30</w:t>
            </w:r>
          </w:p>
        </w:tc>
        <w:tc>
          <w:tcPr>
            <w:tcW w:w="690" w:type="pct"/>
          </w:tcPr>
          <w:p w14:paraId="41EC498A" w14:textId="77777777" w:rsidR="00F7609C" w:rsidRPr="00F7609C" w:rsidRDefault="00F7609C" w:rsidP="00F7609C">
            <w:pPr>
              <w:ind w:firstLine="22"/>
            </w:pPr>
          </w:p>
        </w:tc>
        <w:tc>
          <w:tcPr>
            <w:tcW w:w="388" w:type="pct"/>
          </w:tcPr>
          <w:p w14:paraId="20CE137E" w14:textId="77777777" w:rsidR="00F7609C" w:rsidRPr="00F7609C" w:rsidRDefault="00F7609C" w:rsidP="00F7609C">
            <w:pPr>
              <w:ind w:firstLine="22"/>
            </w:pPr>
          </w:p>
        </w:tc>
        <w:tc>
          <w:tcPr>
            <w:tcW w:w="747" w:type="pct"/>
          </w:tcPr>
          <w:p w14:paraId="1CCE92E1" w14:textId="77777777" w:rsidR="00F7609C" w:rsidRPr="00F7609C" w:rsidRDefault="00F7609C" w:rsidP="00F7609C">
            <w:pPr>
              <w:ind w:firstLine="22"/>
            </w:pPr>
          </w:p>
        </w:tc>
        <w:tc>
          <w:tcPr>
            <w:tcW w:w="731" w:type="pct"/>
          </w:tcPr>
          <w:p w14:paraId="3BE58DDE" w14:textId="77777777" w:rsidR="00F7609C" w:rsidRPr="00F7609C" w:rsidRDefault="00F7609C" w:rsidP="00F7609C">
            <w:pPr>
              <w:ind w:firstLine="22"/>
            </w:pPr>
          </w:p>
        </w:tc>
        <w:tc>
          <w:tcPr>
            <w:tcW w:w="511" w:type="pct"/>
          </w:tcPr>
          <w:p w14:paraId="7080461A" w14:textId="77777777" w:rsidR="00F7609C" w:rsidRPr="00F7609C" w:rsidRDefault="00F7609C" w:rsidP="00F7609C">
            <w:pPr>
              <w:ind w:firstLine="22"/>
            </w:pPr>
          </w:p>
        </w:tc>
        <w:tc>
          <w:tcPr>
            <w:tcW w:w="764" w:type="pct"/>
          </w:tcPr>
          <w:p w14:paraId="040E4617" w14:textId="77777777" w:rsidR="00F7609C" w:rsidRPr="00F7609C" w:rsidRDefault="00F7609C" w:rsidP="00F7609C">
            <w:pPr>
              <w:ind w:firstLine="22"/>
            </w:pPr>
          </w:p>
        </w:tc>
        <w:tc>
          <w:tcPr>
            <w:tcW w:w="486" w:type="pct"/>
          </w:tcPr>
          <w:p w14:paraId="32A39089" w14:textId="77777777" w:rsidR="00F7609C" w:rsidRPr="00F7609C" w:rsidRDefault="00F7609C" w:rsidP="00F7609C">
            <w:pPr>
              <w:ind w:firstLine="22"/>
            </w:pPr>
          </w:p>
        </w:tc>
      </w:tr>
      <w:tr w:rsidR="00F7609C" w:rsidRPr="00F7609C" w14:paraId="2836FE2E" w14:textId="77777777" w:rsidTr="0075388E">
        <w:trPr>
          <w:jc w:val="center"/>
        </w:trPr>
        <w:tc>
          <w:tcPr>
            <w:tcW w:w="682" w:type="pct"/>
          </w:tcPr>
          <w:p w14:paraId="5D38ACEC" w14:textId="77777777" w:rsidR="00F7609C" w:rsidRPr="00F7609C" w:rsidRDefault="00F7609C" w:rsidP="00F7609C">
            <w:pPr>
              <w:ind w:firstLine="22"/>
            </w:pPr>
            <w:r w:rsidRPr="00F7609C">
              <w:t>09:30-10:30</w:t>
            </w:r>
          </w:p>
        </w:tc>
        <w:tc>
          <w:tcPr>
            <w:tcW w:w="690" w:type="pct"/>
          </w:tcPr>
          <w:p w14:paraId="624EBDD6" w14:textId="77777777" w:rsidR="00F7609C" w:rsidRPr="00F7609C" w:rsidRDefault="00F7609C" w:rsidP="00F7609C">
            <w:pPr>
              <w:ind w:firstLine="22"/>
            </w:pPr>
          </w:p>
        </w:tc>
        <w:tc>
          <w:tcPr>
            <w:tcW w:w="388" w:type="pct"/>
          </w:tcPr>
          <w:p w14:paraId="01D5AE5C" w14:textId="77777777" w:rsidR="00F7609C" w:rsidRPr="00F7609C" w:rsidRDefault="00F7609C" w:rsidP="00F7609C">
            <w:pPr>
              <w:ind w:firstLine="22"/>
            </w:pPr>
          </w:p>
        </w:tc>
        <w:tc>
          <w:tcPr>
            <w:tcW w:w="747" w:type="pct"/>
          </w:tcPr>
          <w:p w14:paraId="7D8EBD4F" w14:textId="77777777" w:rsidR="00F7609C" w:rsidRPr="00F7609C" w:rsidRDefault="00F7609C" w:rsidP="00F7609C">
            <w:pPr>
              <w:ind w:firstLine="22"/>
            </w:pPr>
          </w:p>
        </w:tc>
        <w:tc>
          <w:tcPr>
            <w:tcW w:w="731" w:type="pct"/>
          </w:tcPr>
          <w:p w14:paraId="68018140" w14:textId="77777777" w:rsidR="00F7609C" w:rsidRPr="00F7609C" w:rsidRDefault="00F7609C" w:rsidP="00F7609C">
            <w:pPr>
              <w:ind w:firstLine="22"/>
            </w:pPr>
          </w:p>
        </w:tc>
        <w:tc>
          <w:tcPr>
            <w:tcW w:w="511" w:type="pct"/>
          </w:tcPr>
          <w:p w14:paraId="1CC86744" w14:textId="77777777" w:rsidR="00F7609C" w:rsidRPr="00F7609C" w:rsidRDefault="00F7609C" w:rsidP="00F7609C">
            <w:pPr>
              <w:ind w:firstLine="22"/>
            </w:pPr>
          </w:p>
        </w:tc>
        <w:tc>
          <w:tcPr>
            <w:tcW w:w="764" w:type="pct"/>
          </w:tcPr>
          <w:p w14:paraId="4F2E6E93" w14:textId="77777777" w:rsidR="00F7609C" w:rsidRPr="00F7609C" w:rsidRDefault="00F7609C" w:rsidP="00F7609C">
            <w:pPr>
              <w:ind w:firstLine="22"/>
            </w:pPr>
          </w:p>
        </w:tc>
        <w:tc>
          <w:tcPr>
            <w:tcW w:w="486" w:type="pct"/>
          </w:tcPr>
          <w:p w14:paraId="4354D332" w14:textId="77777777" w:rsidR="00F7609C" w:rsidRPr="00F7609C" w:rsidRDefault="00F7609C" w:rsidP="00F7609C">
            <w:pPr>
              <w:ind w:firstLine="22"/>
            </w:pPr>
          </w:p>
        </w:tc>
      </w:tr>
      <w:tr w:rsidR="00F7609C" w:rsidRPr="00F7609C" w14:paraId="39477AB7" w14:textId="77777777" w:rsidTr="0075388E">
        <w:trPr>
          <w:jc w:val="center"/>
        </w:trPr>
        <w:tc>
          <w:tcPr>
            <w:tcW w:w="682" w:type="pct"/>
          </w:tcPr>
          <w:p w14:paraId="60C1FC75" w14:textId="77777777" w:rsidR="00F7609C" w:rsidRPr="00F7609C" w:rsidRDefault="00F7609C" w:rsidP="00F7609C">
            <w:pPr>
              <w:ind w:firstLine="22"/>
            </w:pPr>
            <w:r w:rsidRPr="00F7609C">
              <w:t>10:30-11:30</w:t>
            </w:r>
          </w:p>
        </w:tc>
        <w:tc>
          <w:tcPr>
            <w:tcW w:w="690" w:type="pct"/>
          </w:tcPr>
          <w:p w14:paraId="0CFEF4DD" w14:textId="77777777" w:rsidR="00F7609C" w:rsidRPr="00F7609C" w:rsidRDefault="00F7609C" w:rsidP="00F7609C">
            <w:pPr>
              <w:ind w:firstLine="22"/>
            </w:pPr>
          </w:p>
        </w:tc>
        <w:tc>
          <w:tcPr>
            <w:tcW w:w="388" w:type="pct"/>
          </w:tcPr>
          <w:p w14:paraId="2C048C64" w14:textId="77777777" w:rsidR="00F7609C" w:rsidRPr="00F7609C" w:rsidRDefault="00F7609C" w:rsidP="00F7609C">
            <w:pPr>
              <w:ind w:firstLine="22"/>
            </w:pPr>
          </w:p>
        </w:tc>
        <w:tc>
          <w:tcPr>
            <w:tcW w:w="747" w:type="pct"/>
          </w:tcPr>
          <w:p w14:paraId="458AA475" w14:textId="77777777" w:rsidR="00F7609C" w:rsidRPr="00F7609C" w:rsidRDefault="00F7609C" w:rsidP="00F7609C">
            <w:pPr>
              <w:ind w:firstLine="22"/>
            </w:pPr>
          </w:p>
        </w:tc>
        <w:tc>
          <w:tcPr>
            <w:tcW w:w="731" w:type="pct"/>
          </w:tcPr>
          <w:p w14:paraId="72D3E4F5" w14:textId="77777777" w:rsidR="00F7609C" w:rsidRPr="00F7609C" w:rsidRDefault="00F7609C" w:rsidP="00F7609C">
            <w:pPr>
              <w:ind w:firstLine="22"/>
            </w:pPr>
          </w:p>
        </w:tc>
        <w:tc>
          <w:tcPr>
            <w:tcW w:w="511" w:type="pct"/>
          </w:tcPr>
          <w:p w14:paraId="46037DA5" w14:textId="77777777" w:rsidR="00F7609C" w:rsidRPr="00F7609C" w:rsidRDefault="00F7609C" w:rsidP="00F7609C">
            <w:pPr>
              <w:ind w:firstLine="22"/>
            </w:pPr>
          </w:p>
        </w:tc>
        <w:tc>
          <w:tcPr>
            <w:tcW w:w="764" w:type="pct"/>
          </w:tcPr>
          <w:p w14:paraId="0EF7F97D" w14:textId="77777777" w:rsidR="00F7609C" w:rsidRPr="00F7609C" w:rsidRDefault="00F7609C" w:rsidP="00F7609C">
            <w:pPr>
              <w:ind w:firstLine="22"/>
            </w:pPr>
          </w:p>
        </w:tc>
        <w:tc>
          <w:tcPr>
            <w:tcW w:w="486" w:type="pct"/>
          </w:tcPr>
          <w:p w14:paraId="5A2ADC04" w14:textId="77777777" w:rsidR="00F7609C" w:rsidRPr="00F7609C" w:rsidRDefault="00F7609C" w:rsidP="00F7609C">
            <w:pPr>
              <w:ind w:firstLine="22"/>
            </w:pPr>
          </w:p>
        </w:tc>
      </w:tr>
      <w:tr w:rsidR="00F7609C" w:rsidRPr="00F7609C" w14:paraId="14E7719D" w14:textId="77777777" w:rsidTr="0075388E">
        <w:trPr>
          <w:jc w:val="center"/>
        </w:trPr>
        <w:tc>
          <w:tcPr>
            <w:tcW w:w="682" w:type="pct"/>
          </w:tcPr>
          <w:p w14:paraId="063BA297" w14:textId="77777777" w:rsidR="00F7609C" w:rsidRPr="00F7609C" w:rsidRDefault="00F7609C" w:rsidP="00F7609C">
            <w:pPr>
              <w:ind w:firstLine="22"/>
            </w:pPr>
            <w:r w:rsidRPr="00F7609C">
              <w:t>11:30-12:30</w:t>
            </w:r>
          </w:p>
        </w:tc>
        <w:tc>
          <w:tcPr>
            <w:tcW w:w="690" w:type="pct"/>
          </w:tcPr>
          <w:p w14:paraId="38D921BE" w14:textId="77777777" w:rsidR="00F7609C" w:rsidRPr="00F7609C" w:rsidRDefault="00F7609C" w:rsidP="00F7609C">
            <w:pPr>
              <w:ind w:firstLine="22"/>
            </w:pPr>
          </w:p>
        </w:tc>
        <w:tc>
          <w:tcPr>
            <w:tcW w:w="388" w:type="pct"/>
          </w:tcPr>
          <w:p w14:paraId="7CF05A46" w14:textId="77777777" w:rsidR="00F7609C" w:rsidRPr="00F7609C" w:rsidRDefault="00F7609C" w:rsidP="00F7609C">
            <w:pPr>
              <w:ind w:firstLine="22"/>
            </w:pPr>
          </w:p>
        </w:tc>
        <w:tc>
          <w:tcPr>
            <w:tcW w:w="747" w:type="pct"/>
          </w:tcPr>
          <w:p w14:paraId="2BC430FB" w14:textId="77777777" w:rsidR="00F7609C" w:rsidRPr="00F7609C" w:rsidRDefault="00F7609C" w:rsidP="00F7609C">
            <w:pPr>
              <w:ind w:firstLine="22"/>
            </w:pPr>
          </w:p>
        </w:tc>
        <w:tc>
          <w:tcPr>
            <w:tcW w:w="731" w:type="pct"/>
          </w:tcPr>
          <w:p w14:paraId="2097E946" w14:textId="77777777" w:rsidR="00F7609C" w:rsidRPr="00F7609C" w:rsidRDefault="00F7609C" w:rsidP="00F7609C">
            <w:pPr>
              <w:ind w:firstLine="22"/>
            </w:pPr>
          </w:p>
        </w:tc>
        <w:tc>
          <w:tcPr>
            <w:tcW w:w="511" w:type="pct"/>
          </w:tcPr>
          <w:p w14:paraId="7EDCDEF8" w14:textId="77777777" w:rsidR="00F7609C" w:rsidRPr="00F7609C" w:rsidRDefault="00F7609C" w:rsidP="00F7609C">
            <w:pPr>
              <w:ind w:firstLine="22"/>
            </w:pPr>
          </w:p>
        </w:tc>
        <w:tc>
          <w:tcPr>
            <w:tcW w:w="764" w:type="pct"/>
          </w:tcPr>
          <w:p w14:paraId="7A62C74D" w14:textId="77777777" w:rsidR="00F7609C" w:rsidRPr="00F7609C" w:rsidRDefault="00F7609C" w:rsidP="00F7609C">
            <w:pPr>
              <w:ind w:firstLine="22"/>
            </w:pPr>
          </w:p>
        </w:tc>
        <w:tc>
          <w:tcPr>
            <w:tcW w:w="486" w:type="pct"/>
          </w:tcPr>
          <w:p w14:paraId="3A84D4E0" w14:textId="77777777" w:rsidR="00F7609C" w:rsidRPr="00F7609C" w:rsidRDefault="00F7609C" w:rsidP="00F7609C">
            <w:pPr>
              <w:ind w:firstLine="22"/>
            </w:pPr>
          </w:p>
        </w:tc>
      </w:tr>
    </w:tbl>
    <w:p w14:paraId="0DFE5E84" w14:textId="77777777" w:rsidR="00F7609C" w:rsidRPr="00F7609C" w:rsidRDefault="00F7609C" w:rsidP="00F7609C">
      <w:pPr>
        <w:rPr>
          <w:lang w:val="tr-TR"/>
        </w:rPr>
      </w:pPr>
    </w:p>
    <w:p w14:paraId="727CB68E" w14:textId="77777777" w:rsidR="00474D7A" w:rsidRPr="00F7609C" w:rsidRDefault="00F7609C" w:rsidP="00F7609C">
      <w:pPr>
        <w:pStyle w:val="KaynakaBalk"/>
      </w:pPr>
      <w:r>
        <w:t>Kaynakça</w:t>
      </w:r>
    </w:p>
    <w:p w14:paraId="3574662A" w14:textId="77777777" w:rsidR="00162878" w:rsidRPr="005131A9" w:rsidRDefault="00162878" w:rsidP="00162878">
      <w:pPr>
        <w:pStyle w:val="Kaynaka"/>
      </w:pPr>
      <w:r w:rsidRPr="005131A9">
        <w:lastRenderedPageBreak/>
        <w:t xml:space="preserve">Aigueperse, J., Mollard, P., Devilliers, D., Chemla, M., Faron, R., Romano, R., &amp; Cuer, J. P. (2000). Fluorine Compounds, Inorganic. In Wiley-VCH Verlag GmbH &amp; Co. KGaA (Ed.), </w:t>
      </w:r>
      <w:r w:rsidRPr="005131A9">
        <w:rPr>
          <w:i/>
          <w:iCs/>
        </w:rPr>
        <w:t>Ullmann’s Encyclopedia of Industrial Chemistry</w:t>
      </w:r>
      <w:r w:rsidRPr="005131A9">
        <w:t xml:space="preserve"> (p. a11_307). Wiley-VCH Verlag GmbH &amp; Co. KGaA. </w:t>
      </w:r>
      <w:hyperlink r:id="rId8" w:history="1">
        <w:r w:rsidRPr="005131A9">
          <w:rPr>
            <w:color w:val="0000FF"/>
            <w:u w:val="single"/>
          </w:rPr>
          <w:t>https://doi.org/10.1002/14356007.a11_307</w:t>
        </w:r>
      </w:hyperlink>
      <w:r>
        <w:t xml:space="preserve"> </w:t>
      </w:r>
    </w:p>
    <w:p w14:paraId="4D802768" w14:textId="77777777" w:rsidR="00162878" w:rsidRPr="005131A9" w:rsidRDefault="00162878" w:rsidP="00162878">
      <w:pPr>
        <w:pStyle w:val="Kaynaka"/>
      </w:pPr>
      <w:r w:rsidRPr="005131A9">
        <w:t xml:space="preserve">Alpert, N. L., Keiser, W. E. ., &amp; Szymanski, H. A. . (2012). </w:t>
      </w:r>
      <w:r w:rsidRPr="005131A9">
        <w:rPr>
          <w:i/>
          <w:iCs/>
        </w:rPr>
        <w:t>IR: Theory and Practice of Infrared Spectroscopy</w:t>
      </w:r>
      <w:r w:rsidRPr="005131A9">
        <w:t>. Springer International Publishing.</w:t>
      </w:r>
    </w:p>
    <w:p w14:paraId="4874ABEE" w14:textId="77777777" w:rsidR="00162878" w:rsidRPr="005131A9" w:rsidRDefault="00162878" w:rsidP="00162878">
      <w:pPr>
        <w:pStyle w:val="Kaynaka"/>
      </w:pPr>
      <w:r w:rsidRPr="005131A9">
        <w:t xml:space="preserve">Anchell, S. (1998). </w:t>
      </w:r>
      <w:r w:rsidRPr="005131A9">
        <w:rPr>
          <w:i/>
          <w:iCs/>
        </w:rPr>
        <w:t>The Film Developing Cookbook</w:t>
      </w:r>
      <w:r w:rsidRPr="005131A9">
        <w:t xml:space="preserve"> (1st ed.). Routledge. </w:t>
      </w:r>
      <w:hyperlink r:id="rId9" w:history="1">
        <w:r w:rsidRPr="005131A9">
          <w:rPr>
            <w:color w:val="0000FF"/>
            <w:u w:val="single"/>
          </w:rPr>
          <w:t>https://doi.org/10.4324/9780080573304</w:t>
        </w:r>
      </w:hyperlink>
    </w:p>
    <w:p w14:paraId="3EF4998F" w14:textId="77777777" w:rsidR="00162878" w:rsidRPr="005131A9" w:rsidRDefault="00162878" w:rsidP="00162878">
      <w:pPr>
        <w:pStyle w:val="Kaynaka"/>
      </w:pPr>
      <w:r w:rsidRPr="005131A9">
        <w:t xml:space="preserve">Andeen, C., Fontanella, J., &amp; Schuele, D. (1970). Low-Frequency Dielectric Constant of LiF, NaF, NaCl, NaBr, KCl, and KBr by the Method of Substitution. </w:t>
      </w:r>
      <w:r w:rsidRPr="005131A9">
        <w:rPr>
          <w:i/>
          <w:iCs/>
        </w:rPr>
        <w:t>Physical Review B</w:t>
      </w:r>
      <w:r w:rsidRPr="005131A9">
        <w:t xml:space="preserve">, </w:t>
      </w:r>
      <w:r w:rsidRPr="005131A9">
        <w:rPr>
          <w:i/>
          <w:iCs/>
        </w:rPr>
        <w:t>2</w:t>
      </w:r>
      <w:r w:rsidRPr="005131A9">
        <w:t xml:space="preserve">(12), 5068–5073. </w:t>
      </w:r>
      <w:hyperlink r:id="rId10" w:history="1">
        <w:r w:rsidRPr="005131A9">
          <w:rPr>
            <w:color w:val="0000FF"/>
            <w:u w:val="single"/>
          </w:rPr>
          <w:t>https://doi.org/10.1103/PhysRevB.2.5068</w:t>
        </w:r>
      </w:hyperlink>
    </w:p>
    <w:p w14:paraId="48B3E375" w14:textId="77777777" w:rsidR="00162878" w:rsidRPr="005131A9" w:rsidRDefault="00162878" w:rsidP="00162878">
      <w:pPr>
        <w:pStyle w:val="Kaynaka"/>
      </w:pPr>
      <w:r w:rsidRPr="005131A9">
        <w:t xml:space="preserve">De Lahunta, A., Glass, E., &amp; Kent. (2009). </w:t>
      </w:r>
      <w:r w:rsidRPr="005131A9">
        <w:rPr>
          <w:i/>
          <w:iCs/>
        </w:rPr>
        <w:t>Veterinary Neuroanatomy and Clinical Neurology</w:t>
      </w:r>
      <w:r w:rsidRPr="005131A9">
        <w:t xml:space="preserve">. Elsevier. </w:t>
      </w:r>
      <w:hyperlink r:id="rId11" w:history="1">
        <w:r w:rsidRPr="005131A9">
          <w:rPr>
            <w:color w:val="0000FF"/>
            <w:u w:val="single"/>
          </w:rPr>
          <w:t>https://doi.org/10.1016/B978-0-7216-6706-5.X0001-7</w:t>
        </w:r>
      </w:hyperlink>
    </w:p>
    <w:p w14:paraId="3829D78C" w14:textId="77777777" w:rsidR="00162878" w:rsidRPr="005131A9" w:rsidRDefault="00162878" w:rsidP="00162878">
      <w:pPr>
        <w:pStyle w:val="Kaynaka"/>
      </w:pPr>
      <w:r w:rsidRPr="005131A9">
        <w:t xml:space="preserve">Doll, K., Schön, J. C., &amp; Jansen, M. (2010). </w:t>
      </w:r>
      <w:r w:rsidRPr="005131A9">
        <w:rPr>
          <w:i/>
          <w:iCs/>
        </w:rPr>
        <w:t>Ab initio</w:t>
      </w:r>
      <w:r w:rsidRPr="005131A9">
        <w:t xml:space="preserve"> energy landscape of LiF clusters. </w:t>
      </w:r>
      <w:r w:rsidRPr="005131A9">
        <w:rPr>
          <w:i/>
          <w:iCs/>
        </w:rPr>
        <w:t>The Journal of Chemical Physics</w:t>
      </w:r>
      <w:r w:rsidRPr="005131A9">
        <w:t xml:space="preserve">, </w:t>
      </w:r>
      <w:r w:rsidRPr="005131A9">
        <w:rPr>
          <w:i/>
          <w:iCs/>
        </w:rPr>
        <w:t>133</w:t>
      </w:r>
      <w:r w:rsidRPr="005131A9">
        <w:t xml:space="preserve">(2), 024107. </w:t>
      </w:r>
      <w:hyperlink r:id="rId12" w:history="1">
        <w:r w:rsidRPr="005131A9">
          <w:rPr>
            <w:color w:val="0000FF"/>
            <w:u w:val="single"/>
          </w:rPr>
          <w:t>https://doi.org/10.1063/1.3455708</w:t>
        </w:r>
      </w:hyperlink>
    </w:p>
    <w:p w14:paraId="383ED9BF" w14:textId="77777777" w:rsidR="00162878" w:rsidRPr="005131A9" w:rsidRDefault="00162878" w:rsidP="00162878">
      <w:pPr>
        <w:pStyle w:val="Kaynaka"/>
      </w:pPr>
      <w:r w:rsidRPr="005131A9">
        <w:t xml:space="preserve">Friedman, HaroldL. (1982). Ionic hydration in chemistry and biophysics. </w:t>
      </w:r>
      <w:r w:rsidRPr="005131A9">
        <w:rPr>
          <w:i/>
          <w:iCs/>
        </w:rPr>
        <w:t>Journal of Electroanalytical Chemistry and Interfacial Electrochemistry</w:t>
      </w:r>
      <w:r w:rsidRPr="005131A9">
        <w:t xml:space="preserve">, </w:t>
      </w:r>
      <w:r w:rsidRPr="005131A9">
        <w:rPr>
          <w:i/>
          <w:iCs/>
        </w:rPr>
        <w:t>131</w:t>
      </w:r>
      <w:r w:rsidRPr="005131A9">
        <w:t xml:space="preserve">, 407–408. </w:t>
      </w:r>
      <w:hyperlink r:id="rId13" w:history="1">
        <w:r w:rsidRPr="005131A9">
          <w:rPr>
            <w:color w:val="0000FF"/>
            <w:u w:val="single"/>
          </w:rPr>
          <w:t>https://doi.org/10.1016/0022-0728(82)87097-6</w:t>
        </w:r>
      </w:hyperlink>
    </w:p>
    <w:p w14:paraId="5E343D97" w14:textId="77777777" w:rsidR="00162878" w:rsidRPr="005131A9" w:rsidRDefault="00162878" w:rsidP="00162878">
      <w:pPr>
        <w:pStyle w:val="Kaynaka"/>
      </w:pPr>
      <w:r w:rsidRPr="005131A9">
        <w:t xml:space="preserve">Li, R.-Z., Liu, C.-W., Gao, Y. Q., Jiang, H., Xu, H.-G., &amp; Zheng, W.-J. (2013). Microsolvation of LiI and CsI in Water: Anion Photoelectron Spectroscopy and </w:t>
      </w:r>
      <w:r w:rsidRPr="005131A9">
        <w:rPr>
          <w:i/>
          <w:iCs/>
        </w:rPr>
        <w:t>ab initio</w:t>
      </w:r>
      <w:r w:rsidRPr="005131A9">
        <w:t xml:space="preserve"> Calculations. </w:t>
      </w:r>
      <w:r w:rsidRPr="005131A9">
        <w:rPr>
          <w:i/>
          <w:iCs/>
        </w:rPr>
        <w:t>Journal of the American Chemical Society</w:t>
      </w:r>
      <w:r w:rsidRPr="005131A9">
        <w:t xml:space="preserve">, </w:t>
      </w:r>
      <w:r w:rsidRPr="005131A9">
        <w:rPr>
          <w:i/>
          <w:iCs/>
        </w:rPr>
        <w:t>135</w:t>
      </w:r>
      <w:r w:rsidRPr="005131A9">
        <w:t xml:space="preserve">(13), 5190–5199. </w:t>
      </w:r>
      <w:hyperlink r:id="rId14" w:history="1">
        <w:r w:rsidRPr="005131A9">
          <w:rPr>
            <w:color w:val="0000FF"/>
            <w:u w:val="single"/>
          </w:rPr>
          <w:t>https://doi.org/10.1021/ja4006942</w:t>
        </w:r>
      </w:hyperlink>
    </w:p>
    <w:p w14:paraId="152BB575" w14:textId="77777777" w:rsidR="00162878" w:rsidRPr="005131A9" w:rsidRDefault="00162878" w:rsidP="00162878">
      <w:pPr>
        <w:pStyle w:val="Kaynaka"/>
      </w:pPr>
      <w:r w:rsidRPr="005131A9">
        <w:lastRenderedPageBreak/>
        <w:t xml:space="preserve">Marcus, Y. (2010). Effect of ions on the structure of water. </w:t>
      </w:r>
      <w:r w:rsidRPr="005131A9">
        <w:rPr>
          <w:i/>
          <w:iCs/>
        </w:rPr>
        <w:t>Pure and Applied Chemistry</w:t>
      </w:r>
      <w:r w:rsidRPr="005131A9">
        <w:t xml:space="preserve">, </w:t>
      </w:r>
      <w:r w:rsidRPr="005131A9">
        <w:rPr>
          <w:i/>
          <w:iCs/>
        </w:rPr>
        <w:t>82</w:t>
      </w:r>
      <w:r w:rsidRPr="005131A9">
        <w:t xml:space="preserve">(10), 1889–1899. </w:t>
      </w:r>
      <w:hyperlink r:id="rId15" w:history="1">
        <w:r w:rsidRPr="005131A9">
          <w:rPr>
            <w:color w:val="0000FF"/>
            <w:u w:val="single"/>
          </w:rPr>
          <w:t>https://doi.org/10.1351/PAC-CON-09-07-02</w:t>
        </w:r>
      </w:hyperlink>
    </w:p>
    <w:p w14:paraId="48DCF6AF" w14:textId="77777777" w:rsidR="00162878" w:rsidRPr="005131A9" w:rsidRDefault="00162878" w:rsidP="00162878">
      <w:pPr>
        <w:pStyle w:val="Kaynaka"/>
      </w:pPr>
      <w:r w:rsidRPr="005131A9">
        <w:t xml:space="preserve">Marcus, Y. (2015). </w:t>
      </w:r>
      <w:r w:rsidRPr="005131A9">
        <w:rPr>
          <w:i/>
          <w:iCs/>
        </w:rPr>
        <w:t>Ions in Solution and their Solvation: Marcus/Ions in Solution and their Solvation</w:t>
      </w:r>
      <w:r w:rsidRPr="005131A9">
        <w:t xml:space="preserve">. John Wiley &amp; Sons, Inc. </w:t>
      </w:r>
      <w:hyperlink r:id="rId16" w:history="1">
        <w:r w:rsidRPr="005131A9">
          <w:rPr>
            <w:color w:val="0000FF"/>
            <w:u w:val="single"/>
          </w:rPr>
          <w:t>https://doi.org/10.1002/9781118892336</w:t>
        </w:r>
      </w:hyperlink>
    </w:p>
    <w:p w14:paraId="5FF085B8" w14:textId="77777777" w:rsidR="00162878" w:rsidRPr="005131A9" w:rsidRDefault="00162878" w:rsidP="00162878">
      <w:pPr>
        <w:pStyle w:val="Kaynaka"/>
      </w:pPr>
      <w:r w:rsidRPr="005131A9">
        <w:t xml:space="preserve">McGregor, D. S., Bellinger, S. L., &amp; Shultis, J. K. (2013). Present status of microstructured semiconductor neutron detectors. </w:t>
      </w:r>
      <w:r w:rsidRPr="005131A9">
        <w:rPr>
          <w:i/>
          <w:iCs/>
        </w:rPr>
        <w:t>Journal of Crystal Growth</w:t>
      </w:r>
      <w:r w:rsidRPr="005131A9">
        <w:t xml:space="preserve">, </w:t>
      </w:r>
      <w:r w:rsidRPr="005131A9">
        <w:rPr>
          <w:i/>
          <w:iCs/>
        </w:rPr>
        <w:t>379</w:t>
      </w:r>
      <w:r w:rsidRPr="005131A9">
        <w:t xml:space="preserve">, 99–110. </w:t>
      </w:r>
      <w:hyperlink r:id="rId17" w:history="1">
        <w:r w:rsidRPr="005131A9">
          <w:rPr>
            <w:color w:val="0000FF"/>
            <w:u w:val="single"/>
          </w:rPr>
          <w:t>https://doi.org/10.1016/j.jcrysgro.2012.10.061</w:t>
        </w:r>
      </w:hyperlink>
    </w:p>
    <w:p w14:paraId="2946BE22" w14:textId="77777777" w:rsidR="00162878" w:rsidRPr="005131A9" w:rsidRDefault="00162878" w:rsidP="00162878">
      <w:pPr>
        <w:pStyle w:val="Kaynaka"/>
      </w:pPr>
      <w:r w:rsidRPr="005131A9">
        <w:t xml:space="preserve">Mizoguchi, A., Ohshima, Y., &amp; Endo, Y. (2011). The study for the incipient solvation process of NaCl in water: The observation of the NaCl–(H </w:t>
      </w:r>
      <w:r w:rsidRPr="005131A9">
        <w:rPr>
          <w:vertAlign w:val="subscript"/>
        </w:rPr>
        <w:t>2</w:t>
      </w:r>
      <w:r w:rsidRPr="005131A9">
        <w:t xml:space="preserve"> O) </w:t>
      </w:r>
      <w:r w:rsidRPr="005131A9">
        <w:rPr>
          <w:i/>
          <w:iCs/>
          <w:vertAlign w:val="subscript"/>
        </w:rPr>
        <w:t>n</w:t>
      </w:r>
      <w:r w:rsidRPr="005131A9">
        <w:rPr>
          <w:vertAlign w:val="subscript"/>
        </w:rPr>
        <w:t xml:space="preserve"> </w:t>
      </w:r>
      <w:r w:rsidRPr="005131A9">
        <w:t xml:space="preserve">( </w:t>
      </w:r>
      <w:r w:rsidRPr="005131A9">
        <w:rPr>
          <w:i/>
          <w:iCs/>
        </w:rPr>
        <w:t>n</w:t>
      </w:r>
      <w:r w:rsidRPr="005131A9">
        <w:t xml:space="preserve"> = 1, 2, and 3) complexes using Fourier-transform microwave spectroscopy. </w:t>
      </w:r>
      <w:r w:rsidRPr="005131A9">
        <w:rPr>
          <w:i/>
          <w:iCs/>
        </w:rPr>
        <w:t>The Journal of Chemical Physics</w:t>
      </w:r>
      <w:r w:rsidRPr="005131A9">
        <w:t xml:space="preserve">, </w:t>
      </w:r>
      <w:r w:rsidRPr="005131A9">
        <w:rPr>
          <w:i/>
          <w:iCs/>
        </w:rPr>
        <w:t>135</w:t>
      </w:r>
      <w:r w:rsidRPr="005131A9">
        <w:t xml:space="preserve">(6), 064307. </w:t>
      </w:r>
      <w:hyperlink r:id="rId18" w:history="1">
        <w:r w:rsidRPr="005131A9">
          <w:rPr>
            <w:color w:val="0000FF"/>
            <w:u w:val="single"/>
          </w:rPr>
          <w:t>https://doi.org/10.1063/1.3616047</w:t>
        </w:r>
      </w:hyperlink>
    </w:p>
    <w:p w14:paraId="19F8F379" w14:textId="77777777" w:rsidR="00162878" w:rsidRPr="005131A9" w:rsidRDefault="00162878" w:rsidP="00162878">
      <w:pPr>
        <w:pStyle w:val="Kaynaka"/>
      </w:pPr>
      <w:r w:rsidRPr="005131A9">
        <w:t xml:space="preserve">Moelbert, S., Normand, B., &amp; De Los Rios, P. (2004). Kosmotropes and chaotropes: Modelling preferential exclusion, binding and aggregate stability. </w:t>
      </w:r>
      <w:r w:rsidRPr="005131A9">
        <w:rPr>
          <w:i/>
          <w:iCs/>
        </w:rPr>
        <w:t>Biophysical Chemistry</w:t>
      </w:r>
      <w:r w:rsidRPr="005131A9">
        <w:t xml:space="preserve">, </w:t>
      </w:r>
      <w:r w:rsidRPr="005131A9">
        <w:rPr>
          <w:i/>
          <w:iCs/>
        </w:rPr>
        <w:t>112</w:t>
      </w:r>
      <w:r w:rsidRPr="005131A9">
        <w:t xml:space="preserve">(1), 45–57. </w:t>
      </w:r>
      <w:hyperlink r:id="rId19" w:history="1">
        <w:r w:rsidRPr="005131A9">
          <w:rPr>
            <w:color w:val="0000FF"/>
            <w:u w:val="single"/>
          </w:rPr>
          <w:t>https://doi.org/10.1016/j.bpc.2004.06.012</w:t>
        </w:r>
      </w:hyperlink>
    </w:p>
    <w:p w14:paraId="7EA1299E" w14:textId="77777777" w:rsidR="00162878" w:rsidRPr="005131A9" w:rsidRDefault="00162878" w:rsidP="00162878">
      <w:pPr>
        <w:pStyle w:val="Kaynaka"/>
      </w:pPr>
      <w:r w:rsidRPr="005131A9">
        <w:t xml:space="preserve">Nancollas, G. H. (1970). The thermodynamics of metal-complex and ion-pair formation. </w:t>
      </w:r>
      <w:r w:rsidRPr="005131A9">
        <w:rPr>
          <w:i/>
          <w:iCs/>
        </w:rPr>
        <w:t>Coordination Chemistry Reviews</w:t>
      </w:r>
      <w:r w:rsidRPr="005131A9">
        <w:t xml:space="preserve">, </w:t>
      </w:r>
      <w:r w:rsidRPr="005131A9">
        <w:rPr>
          <w:i/>
          <w:iCs/>
        </w:rPr>
        <w:t>5</w:t>
      </w:r>
      <w:r w:rsidRPr="005131A9">
        <w:t xml:space="preserve">(4), 379–415. </w:t>
      </w:r>
      <w:hyperlink r:id="rId20" w:history="1">
        <w:r w:rsidRPr="005131A9">
          <w:rPr>
            <w:color w:val="0000FF"/>
            <w:u w:val="single"/>
          </w:rPr>
          <w:t>https://doi.org/10.1016/S0010-8545(00)80099-5</w:t>
        </w:r>
      </w:hyperlink>
    </w:p>
    <w:p w14:paraId="07C6893D" w14:textId="77777777" w:rsidR="00162878" w:rsidRPr="005131A9" w:rsidRDefault="00162878" w:rsidP="00162878">
      <w:pPr>
        <w:pStyle w:val="Kaynaka"/>
      </w:pPr>
      <w:r w:rsidRPr="005131A9">
        <w:t xml:space="preserve">Sadoon, A. M., Sarma, G., Cunningham, E. M., Tandy, J., Hanson-Heine, M. W. D., Besley, N. A., Yang, S., &amp; Ellis, A. M. (2016). Infrared Spectroscopy of NaCl(CH </w:t>
      </w:r>
      <w:r w:rsidRPr="005131A9">
        <w:rPr>
          <w:vertAlign w:val="subscript"/>
        </w:rPr>
        <w:t>3</w:t>
      </w:r>
      <w:r w:rsidRPr="005131A9">
        <w:t xml:space="preserve"> OH) </w:t>
      </w:r>
      <w:r w:rsidRPr="005131A9">
        <w:rPr>
          <w:i/>
          <w:iCs/>
          <w:vertAlign w:val="subscript"/>
        </w:rPr>
        <w:t>n</w:t>
      </w:r>
      <w:r w:rsidRPr="005131A9">
        <w:rPr>
          <w:vertAlign w:val="subscript"/>
        </w:rPr>
        <w:t xml:space="preserve"> </w:t>
      </w:r>
      <w:r w:rsidRPr="005131A9">
        <w:t xml:space="preserve">Complexes in Helium Nanodroplets. </w:t>
      </w:r>
      <w:r w:rsidRPr="005131A9">
        <w:rPr>
          <w:i/>
          <w:iCs/>
        </w:rPr>
        <w:t>The Journal of Physical Chemistry A</w:t>
      </w:r>
      <w:r w:rsidRPr="005131A9">
        <w:t xml:space="preserve">, </w:t>
      </w:r>
      <w:r w:rsidRPr="005131A9">
        <w:rPr>
          <w:i/>
          <w:iCs/>
        </w:rPr>
        <w:t>120</w:t>
      </w:r>
      <w:r w:rsidRPr="005131A9">
        <w:t xml:space="preserve">(41), 8085–8092. </w:t>
      </w:r>
      <w:hyperlink r:id="rId21" w:history="1">
        <w:r w:rsidRPr="005131A9">
          <w:rPr>
            <w:color w:val="0000FF"/>
            <w:u w:val="single"/>
          </w:rPr>
          <w:t>https://doi.org/10.1021/acs.jpca.6b06227</w:t>
        </w:r>
      </w:hyperlink>
    </w:p>
    <w:p w14:paraId="668B9FEE" w14:textId="77777777" w:rsidR="00162878" w:rsidRPr="005131A9" w:rsidRDefault="00162878" w:rsidP="00162878">
      <w:pPr>
        <w:pStyle w:val="Kaynaka"/>
      </w:pPr>
      <w:r w:rsidRPr="005131A9">
        <w:t xml:space="preserve">Sangoro, J., Cosby, T., &amp; Kremer, F. (2016). Rotational and Translational Diffusion in Ionic Liquids. In M. Paluch (Ed.), </w:t>
      </w:r>
      <w:r w:rsidRPr="005131A9">
        <w:rPr>
          <w:i/>
          <w:iCs/>
        </w:rPr>
        <w:t>Dielectric Properties of Ionic Liquids</w:t>
      </w:r>
      <w:r w:rsidRPr="005131A9">
        <w:t xml:space="preserve"> (pp. 29–51). Springer </w:t>
      </w:r>
      <w:r w:rsidRPr="005131A9">
        <w:lastRenderedPageBreak/>
        <w:t xml:space="preserve">International Publishing. </w:t>
      </w:r>
      <w:hyperlink r:id="rId22" w:history="1">
        <w:r w:rsidRPr="005131A9">
          <w:rPr>
            <w:color w:val="0000FF"/>
            <w:u w:val="single"/>
          </w:rPr>
          <w:t>https://doi.org/10.1007/978-3-319-32489-0_2</w:t>
        </w:r>
      </w:hyperlink>
    </w:p>
    <w:p w14:paraId="15836533" w14:textId="77777777" w:rsidR="00162878" w:rsidRPr="005131A9" w:rsidRDefault="00162878" w:rsidP="00162878">
      <w:pPr>
        <w:pStyle w:val="Kaynaka"/>
      </w:pPr>
      <w:r w:rsidRPr="005131A9">
        <w:t xml:space="preserve">Satchell, D. P. N. (1988). Ions in solution: Basic principles of chemical interactions. </w:t>
      </w:r>
      <w:r w:rsidRPr="005131A9">
        <w:rPr>
          <w:i/>
          <w:iCs/>
        </w:rPr>
        <w:t>Endeavour</w:t>
      </w:r>
      <w:r w:rsidRPr="005131A9">
        <w:t xml:space="preserve">, </w:t>
      </w:r>
      <w:r w:rsidRPr="005131A9">
        <w:rPr>
          <w:i/>
          <w:iCs/>
        </w:rPr>
        <w:t>12</w:t>
      </w:r>
      <w:r w:rsidRPr="005131A9">
        <w:t xml:space="preserve">(4), 195. </w:t>
      </w:r>
      <w:hyperlink r:id="rId23" w:history="1">
        <w:r w:rsidRPr="005131A9">
          <w:rPr>
            <w:color w:val="0000FF"/>
            <w:u w:val="single"/>
          </w:rPr>
          <w:t>https://doi.org/10.1016/0160-9327(88)90181-0</w:t>
        </w:r>
      </w:hyperlink>
    </w:p>
    <w:p w14:paraId="6CCE130B" w14:textId="77777777" w:rsidR="00162878" w:rsidRPr="005131A9" w:rsidRDefault="00162878" w:rsidP="00162878">
      <w:pPr>
        <w:pStyle w:val="Kaynaka"/>
      </w:pPr>
      <w:r w:rsidRPr="005131A9">
        <w:t xml:space="preserve">Tandy, J., Feng, C., Boatwright, A., Sarma, G., Sadoon, A. M., Shirley, A., Das Neves Rodrigues, N., Cunningham, E. M., Yang, S., &amp; Ellis, A. M. (2016). Communication: Infrared spectroscopy of salt-water complexes. </w:t>
      </w:r>
      <w:r w:rsidRPr="005131A9">
        <w:rPr>
          <w:i/>
          <w:iCs/>
        </w:rPr>
        <w:t>The Journal of Chemical Physics</w:t>
      </w:r>
      <w:r w:rsidRPr="005131A9">
        <w:t xml:space="preserve">, </w:t>
      </w:r>
      <w:r w:rsidRPr="005131A9">
        <w:rPr>
          <w:i/>
          <w:iCs/>
        </w:rPr>
        <w:t>144</w:t>
      </w:r>
      <w:r w:rsidRPr="005131A9">
        <w:t xml:space="preserve">(12), 121103. </w:t>
      </w:r>
      <w:hyperlink r:id="rId24" w:history="1">
        <w:r w:rsidRPr="005131A9">
          <w:rPr>
            <w:color w:val="0000FF"/>
            <w:u w:val="single"/>
          </w:rPr>
          <w:t>https://doi.org/10.1063/1.4945342</w:t>
        </w:r>
      </w:hyperlink>
    </w:p>
    <w:p w14:paraId="38BD6BB5" w14:textId="77777777" w:rsidR="00162878" w:rsidRPr="005131A9" w:rsidRDefault="00162878" w:rsidP="00162878">
      <w:pPr>
        <w:pStyle w:val="Kaynaka"/>
      </w:pPr>
      <w:r w:rsidRPr="005131A9">
        <w:t xml:space="preserve">Umer, M., Kopp, W. A., &amp; Leonhard, K. (2015). Efficient yet accurate approximations for </w:t>
      </w:r>
      <w:r w:rsidRPr="005131A9">
        <w:rPr>
          <w:i/>
          <w:iCs/>
        </w:rPr>
        <w:t>ab initio</w:t>
      </w:r>
      <w:r w:rsidRPr="005131A9">
        <w:t xml:space="preserve"> calculations of alcohol cluster thermochemistry. </w:t>
      </w:r>
      <w:r w:rsidRPr="005131A9">
        <w:rPr>
          <w:i/>
          <w:iCs/>
        </w:rPr>
        <w:t>The Journal of Chemical Physics</w:t>
      </w:r>
      <w:r w:rsidRPr="005131A9">
        <w:t xml:space="preserve">, </w:t>
      </w:r>
      <w:r w:rsidRPr="005131A9">
        <w:rPr>
          <w:i/>
          <w:iCs/>
        </w:rPr>
        <w:t>143</w:t>
      </w:r>
      <w:r w:rsidRPr="005131A9">
        <w:t xml:space="preserve">(21), 214306. </w:t>
      </w:r>
      <w:hyperlink r:id="rId25" w:history="1">
        <w:r w:rsidRPr="005131A9">
          <w:rPr>
            <w:color w:val="0000FF"/>
            <w:u w:val="single"/>
          </w:rPr>
          <w:t>https://doi.org/10.1063/1.4936406</w:t>
        </w:r>
      </w:hyperlink>
    </w:p>
    <w:p w14:paraId="55D9C902" w14:textId="77777777" w:rsidR="00162878" w:rsidRPr="005131A9" w:rsidRDefault="00162878" w:rsidP="00162878">
      <w:pPr>
        <w:pStyle w:val="Kaynaka"/>
      </w:pPr>
      <w:r w:rsidRPr="005131A9">
        <w:t xml:space="preserve">Zheng, Y., Song, W., Mo, W., Zhou, L., &amp; Liu, J.-W. (2018). Lithium fluoride recovery from cathode material of spent lithium-ion battery. </w:t>
      </w:r>
      <w:r w:rsidRPr="005131A9">
        <w:rPr>
          <w:i/>
          <w:iCs/>
        </w:rPr>
        <w:t>RSC Advances</w:t>
      </w:r>
      <w:r w:rsidRPr="005131A9">
        <w:t xml:space="preserve">, </w:t>
      </w:r>
      <w:r w:rsidRPr="005131A9">
        <w:rPr>
          <w:i/>
          <w:iCs/>
        </w:rPr>
        <w:t>8</w:t>
      </w:r>
      <w:r w:rsidRPr="005131A9">
        <w:t xml:space="preserve">(16), 8990–8998. </w:t>
      </w:r>
      <w:hyperlink r:id="rId26" w:history="1">
        <w:r w:rsidRPr="005131A9">
          <w:rPr>
            <w:color w:val="0000FF"/>
            <w:u w:val="single"/>
          </w:rPr>
          <w:t>https://doi.org/10.1039/C8RA00061A</w:t>
        </w:r>
      </w:hyperlink>
    </w:p>
    <w:p w14:paraId="1F012BCB" w14:textId="77777777" w:rsidR="00162878" w:rsidRDefault="00162878" w:rsidP="00F7609C">
      <w:pPr>
        <w:pStyle w:val="KaynakaBalk"/>
      </w:pPr>
    </w:p>
    <w:sectPr w:rsidR="00162878" w:rsidSect="00C05F89">
      <w:headerReference w:type="even" r:id="rId27"/>
      <w:headerReference w:type="default" r:id="rId28"/>
      <w:footerReference w:type="even" r:id="rId29"/>
      <w:footerReference w:type="default" r:id="rId30"/>
      <w:pgSz w:w="9072" w:h="13608" w:code="9"/>
      <w:pgMar w:top="1417" w:right="1417" w:bottom="1417" w:left="1417" w:header="2495" w:footer="246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D893" w14:textId="77777777" w:rsidR="00AF2443" w:rsidRDefault="00AF2443">
      <w:pPr>
        <w:spacing w:before="0" w:after="0"/>
      </w:pPr>
      <w:r>
        <w:separator/>
      </w:r>
    </w:p>
  </w:endnote>
  <w:endnote w:type="continuationSeparator" w:id="0">
    <w:p w14:paraId="0D2C9490" w14:textId="77777777" w:rsidR="00AF2443" w:rsidRDefault="00AF24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131977"/>
      <w:docPartObj>
        <w:docPartGallery w:val="Page Numbers (Bottom of Page)"/>
        <w:docPartUnique/>
      </w:docPartObj>
    </w:sdtPr>
    <w:sdtEndPr>
      <w:rPr>
        <w:noProof/>
      </w:rPr>
    </w:sdtEndPr>
    <w:sdtContent>
      <w:p w14:paraId="09017BE7" w14:textId="77777777" w:rsidR="00227727" w:rsidRDefault="000B31CB">
        <w:pPr>
          <w:pStyle w:val="AltBilgi"/>
          <w:jc w:val="center"/>
        </w:pPr>
        <w:r>
          <w:fldChar w:fldCharType="begin"/>
        </w:r>
        <w:r>
          <w:instrText xml:space="preserve"> PAGE   \* MERGEFORMAT </w:instrText>
        </w:r>
        <w:r>
          <w:fldChar w:fldCharType="separate"/>
        </w:r>
        <w:r w:rsidR="005520A8">
          <w:rPr>
            <w:noProof/>
          </w:rPr>
          <w:t>6</w:t>
        </w:r>
        <w:r>
          <w:rPr>
            <w:noProof/>
          </w:rPr>
          <w:fldChar w:fldCharType="end"/>
        </w:r>
      </w:p>
    </w:sdtContent>
  </w:sdt>
  <w:p w14:paraId="18FB069E" w14:textId="77777777" w:rsidR="00227727" w:rsidRDefault="00AF24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16131"/>
      <w:docPartObj>
        <w:docPartGallery w:val="Page Numbers (Bottom of Page)"/>
        <w:docPartUnique/>
      </w:docPartObj>
    </w:sdtPr>
    <w:sdtEndPr>
      <w:rPr>
        <w:noProof/>
      </w:rPr>
    </w:sdtEndPr>
    <w:sdtContent>
      <w:p w14:paraId="23448520" w14:textId="1C4B8F62" w:rsidR="003F7130" w:rsidRDefault="003F7130" w:rsidP="003F7130">
        <w:pPr>
          <w:pStyle w:val="AltBilgi"/>
          <w:jc w:val="cente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4BFE" w14:textId="77777777" w:rsidR="00AF2443" w:rsidRDefault="00AF2443">
      <w:pPr>
        <w:spacing w:before="0" w:after="0"/>
      </w:pPr>
      <w:r>
        <w:separator/>
      </w:r>
    </w:p>
  </w:footnote>
  <w:footnote w:type="continuationSeparator" w:id="0">
    <w:p w14:paraId="4AD71EBA" w14:textId="77777777" w:rsidR="00AF2443" w:rsidRDefault="00AF2443">
      <w:pPr>
        <w:spacing w:before="0" w:after="0"/>
      </w:pPr>
      <w:r>
        <w:continuationSeparator/>
      </w:r>
    </w:p>
  </w:footnote>
  <w:footnote w:id="1">
    <w:p w14:paraId="0C602668" w14:textId="77777777" w:rsidR="0075388E" w:rsidRPr="005131A9" w:rsidRDefault="0075388E" w:rsidP="0075388E">
      <w:pPr>
        <w:pStyle w:val="DIPNOT"/>
      </w:pPr>
      <w:r w:rsidRPr="005131A9">
        <w:rPr>
          <w:rStyle w:val="DipnotBavurusu"/>
        </w:rPr>
        <w:footnoteRef/>
      </w:r>
      <w:r w:rsidRPr="005131A9">
        <w:t xml:space="preserve"> Dipnot örneği.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8643" w14:textId="77777777" w:rsidR="004677D1" w:rsidRPr="00FB384C" w:rsidRDefault="000B31CB" w:rsidP="00FB384C">
    <w:pPr>
      <w:pStyle w:val="SaaDayalSayfastBal"/>
    </w:pPr>
    <w:r w:rsidRPr="00FB384C">
      <w:t>Kitap Yazım Kuralları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05C2" w14:textId="77777777" w:rsidR="004677D1" w:rsidRPr="00227727" w:rsidRDefault="000B31CB" w:rsidP="00F7609C">
    <w:pPr>
      <w:pStyle w:val="SolaDayalSayfastBal"/>
    </w:pPr>
    <w:r>
      <w:t>Kitap Yazım Kuralları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19B5"/>
    <w:multiLevelType w:val="hybridMultilevel"/>
    <w:tmpl w:val="22848188"/>
    <w:lvl w:ilvl="0" w:tplc="C4D6DB7A">
      <w:start w:val="1"/>
      <w:numFmt w:val="decimal"/>
      <w:pStyle w:val="ekilAltbal"/>
      <w:lvlText w:val="Şekil %1."/>
      <w:lvlJc w:val="left"/>
      <w:pPr>
        <w:ind w:left="1008"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456B5"/>
    <w:multiLevelType w:val="hybridMultilevel"/>
    <w:tmpl w:val="D12AF954"/>
    <w:lvl w:ilvl="0" w:tplc="9B327818">
      <w:start w:val="1"/>
      <w:numFmt w:val="decimal"/>
      <w:pStyle w:val="TablostYaz"/>
      <w:lvlText w:val="Tablo %1."/>
      <w:lvlJc w:val="left"/>
      <w:pPr>
        <w:ind w:left="1008"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2" w15:restartNumberingAfterBreak="0">
    <w:nsid w:val="564A25AF"/>
    <w:multiLevelType w:val="multilevel"/>
    <w:tmpl w:val="EC7C0000"/>
    <w:lvl w:ilvl="0">
      <w:start w:val="1"/>
      <w:numFmt w:val="decimal"/>
      <w:pStyle w:val="Balk1"/>
      <w:lvlText w:val="%1."/>
      <w:lvlJc w:val="left"/>
      <w:pPr>
        <w:ind w:left="648" w:hanging="360"/>
      </w:pPr>
      <w:rPr>
        <w:rFonts w:hint="default"/>
      </w:rPr>
    </w:lvl>
    <w:lvl w:ilvl="1">
      <w:start w:val="2"/>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3" w15:restartNumberingAfterBreak="0">
    <w:nsid w:val="5CF44DA1"/>
    <w:multiLevelType w:val="hybridMultilevel"/>
    <w:tmpl w:val="8F6E1952"/>
    <w:lvl w:ilvl="0" w:tplc="A1803B32">
      <w:start w:val="1"/>
      <w:numFmt w:val="decimal"/>
      <w:pStyle w:val="Liste-numar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614319BF"/>
    <w:multiLevelType w:val="hybridMultilevel"/>
    <w:tmpl w:val="700E2850"/>
    <w:lvl w:ilvl="0" w:tplc="CBF05D24">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CB"/>
    <w:rsid w:val="000B31CB"/>
    <w:rsid w:val="000D4149"/>
    <w:rsid w:val="00162878"/>
    <w:rsid w:val="00254C79"/>
    <w:rsid w:val="003F7130"/>
    <w:rsid w:val="00437DD9"/>
    <w:rsid w:val="00474D7A"/>
    <w:rsid w:val="004C6512"/>
    <w:rsid w:val="00542F89"/>
    <w:rsid w:val="005520A8"/>
    <w:rsid w:val="00577BBE"/>
    <w:rsid w:val="005F15D7"/>
    <w:rsid w:val="0075388E"/>
    <w:rsid w:val="009470A3"/>
    <w:rsid w:val="00AF2443"/>
    <w:rsid w:val="00C05F89"/>
    <w:rsid w:val="00F23DA2"/>
    <w:rsid w:val="00F7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EEE"/>
  <w15:chartTrackingRefBased/>
  <w15:docId w15:val="{3C4E56FD-2C54-4E09-AD01-9CEDD3BF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CB"/>
    <w:pPr>
      <w:overflowPunct w:val="0"/>
      <w:autoSpaceDE w:val="0"/>
      <w:autoSpaceDN w:val="0"/>
      <w:adjustRightInd w:val="0"/>
      <w:spacing w:before="60" w:after="60" w:line="240" w:lineRule="auto"/>
      <w:ind w:firstLine="288"/>
      <w:jc w:val="both"/>
      <w:textAlignment w:val="baseline"/>
    </w:pPr>
    <w:rPr>
      <w:rFonts w:ascii="Times New Roman" w:eastAsia="Times New Roman" w:hAnsi="Times New Roman" w:cs="Times New Roman"/>
      <w:szCs w:val="20"/>
      <w:lang w:eastAsia="de-DE"/>
    </w:rPr>
  </w:style>
  <w:style w:type="paragraph" w:styleId="Balk1">
    <w:name w:val="heading 1"/>
    <w:basedOn w:val="Normal"/>
    <w:next w:val="Normal"/>
    <w:link w:val="Balk1Char"/>
    <w:qFormat/>
    <w:rsid w:val="000B31CB"/>
    <w:pPr>
      <w:keepNext/>
      <w:numPr>
        <w:numId w:val="1"/>
      </w:numPr>
      <w:spacing w:before="240" w:after="240"/>
      <w:ind w:left="360"/>
      <w:outlineLvl w:val="0"/>
    </w:pPr>
    <w:rPr>
      <w:b/>
      <w:bCs/>
      <w:caps/>
      <w:color w:val="0070C0"/>
      <w:sz w:val="28"/>
      <w:szCs w:val="24"/>
    </w:rPr>
  </w:style>
  <w:style w:type="paragraph" w:styleId="Balk2">
    <w:name w:val="heading 2"/>
    <w:basedOn w:val="Normal"/>
    <w:next w:val="Normal"/>
    <w:link w:val="Balk2Char"/>
    <w:qFormat/>
    <w:rsid w:val="00F7609C"/>
    <w:pPr>
      <w:keepNext/>
      <w:spacing w:before="120" w:after="240"/>
      <w:ind w:firstLine="0"/>
      <w:jc w:val="left"/>
      <w:outlineLvl w:val="1"/>
    </w:pPr>
    <w:rPr>
      <w:b/>
      <w:color w:val="70AD47" w:themeColor="accent6"/>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B31CB"/>
    <w:rPr>
      <w:rFonts w:ascii="Times New Roman" w:eastAsia="Times New Roman" w:hAnsi="Times New Roman" w:cs="Times New Roman"/>
      <w:b/>
      <w:bCs/>
      <w:caps/>
      <w:color w:val="0070C0"/>
      <w:sz w:val="28"/>
      <w:szCs w:val="24"/>
      <w:lang w:eastAsia="de-DE"/>
    </w:rPr>
  </w:style>
  <w:style w:type="character" w:customStyle="1" w:styleId="Balk2Char">
    <w:name w:val="Başlık 2 Char"/>
    <w:basedOn w:val="VarsaylanParagrafYazTipi"/>
    <w:link w:val="Balk2"/>
    <w:rsid w:val="00F7609C"/>
    <w:rPr>
      <w:rFonts w:ascii="Times New Roman" w:eastAsia="Times New Roman" w:hAnsi="Times New Roman" w:cs="Times New Roman"/>
      <w:b/>
      <w:color w:val="70AD47" w:themeColor="accent6"/>
      <w:sz w:val="24"/>
      <w:szCs w:val="20"/>
      <w:lang w:eastAsia="de-DE"/>
    </w:rPr>
  </w:style>
  <w:style w:type="paragraph" w:customStyle="1" w:styleId="SolaDayalSayfastBal">
    <w:name w:val="Sola Dayalı Sayfa Üst Başlığı"/>
    <w:basedOn w:val="Normal"/>
    <w:qFormat/>
    <w:rsid w:val="000B31CB"/>
    <w:pPr>
      <w:pBdr>
        <w:bottom w:val="single" w:sz="4" w:space="1" w:color="auto"/>
      </w:pBdr>
      <w:tabs>
        <w:tab w:val="left" w:pos="680"/>
        <w:tab w:val="right" w:pos="6237"/>
        <w:tab w:val="right" w:pos="6917"/>
      </w:tabs>
      <w:spacing w:after="120" w:line="200" w:lineRule="exact"/>
      <w:ind w:firstLine="0"/>
      <w:jc w:val="left"/>
    </w:pPr>
    <w:rPr>
      <w:color w:val="0070C0"/>
      <w:sz w:val="17"/>
    </w:rPr>
  </w:style>
  <w:style w:type="paragraph" w:customStyle="1" w:styleId="SaaDayalSayfastBal">
    <w:name w:val="Sağa Dayalı Sayfa Üst Başlığı"/>
    <w:basedOn w:val="SolaDayalSayfastBal"/>
    <w:qFormat/>
    <w:rsid w:val="000B31CB"/>
    <w:pPr>
      <w:jc w:val="right"/>
    </w:pPr>
  </w:style>
  <w:style w:type="character" w:styleId="Kpr">
    <w:name w:val="Hyperlink"/>
    <w:uiPriority w:val="99"/>
    <w:rsid w:val="000B31CB"/>
    <w:rPr>
      <w:color w:val="0000FF"/>
      <w:u w:val="single"/>
    </w:rPr>
  </w:style>
  <w:style w:type="paragraph" w:styleId="TBal">
    <w:name w:val="TOC Heading"/>
    <w:aliases w:val="İçindekiler Başlık"/>
    <w:next w:val="Normal"/>
    <w:uiPriority w:val="39"/>
    <w:unhideWhenUsed/>
    <w:qFormat/>
    <w:rsid w:val="000D4149"/>
    <w:pPr>
      <w:keepLines/>
      <w:spacing w:after="240" w:line="240" w:lineRule="auto"/>
    </w:pPr>
    <w:rPr>
      <w:rFonts w:ascii="Times New Roman" w:eastAsiaTheme="majorEastAsia" w:hAnsi="Times New Roman" w:cstheme="majorBidi"/>
      <w:color w:val="2E74B5" w:themeColor="accent1" w:themeShade="BF"/>
      <w:sz w:val="28"/>
      <w:szCs w:val="32"/>
      <w:lang w:val="tr-TR"/>
    </w:rPr>
  </w:style>
  <w:style w:type="paragraph" w:styleId="ListeParagraf">
    <w:name w:val="List Paragraph"/>
    <w:aliases w:val="Liste Metin"/>
    <w:basedOn w:val="Normal"/>
    <w:link w:val="ListeParagrafChar"/>
    <w:uiPriority w:val="34"/>
    <w:rsid w:val="000B31CB"/>
    <w:pPr>
      <w:overflowPunct/>
      <w:autoSpaceDE/>
      <w:autoSpaceDN/>
      <w:adjustRightInd/>
      <w:ind w:left="720" w:firstLine="0"/>
      <w:contextualSpacing/>
      <w:jc w:val="left"/>
      <w:textAlignment w:val="auto"/>
    </w:pPr>
    <w:rPr>
      <w:rFonts w:eastAsia="Calibri"/>
      <w:szCs w:val="22"/>
      <w:lang w:eastAsia="en-US"/>
    </w:rPr>
  </w:style>
  <w:style w:type="character" w:customStyle="1" w:styleId="ListeParagrafChar">
    <w:name w:val="Liste Paragraf Char"/>
    <w:aliases w:val="Liste Metin Char"/>
    <w:link w:val="ListeParagraf"/>
    <w:uiPriority w:val="34"/>
    <w:locked/>
    <w:rsid w:val="000B31CB"/>
    <w:rPr>
      <w:rFonts w:ascii="Times New Roman" w:eastAsia="Calibri" w:hAnsi="Times New Roman" w:cs="Times New Roman"/>
    </w:rPr>
  </w:style>
  <w:style w:type="paragraph" w:styleId="KonuBal">
    <w:name w:val="Title"/>
    <w:aliases w:val="Book Title"/>
    <w:basedOn w:val="Normal"/>
    <w:next w:val="Normal"/>
    <w:link w:val="KonuBalChar"/>
    <w:qFormat/>
    <w:rsid w:val="00F7609C"/>
    <w:pPr>
      <w:spacing w:line="360" w:lineRule="auto"/>
      <w:contextualSpacing/>
      <w:jc w:val="center"/>
    </w:pPr>
    <w:rPr>
      <w:rFonts w:asciiTheme="majorHAnsi" w:eastAsiaTheme="majorEastAsia" w:hAnsiTheme="majorHAnsi" w:cstheme="majorBidi"/>
      <w:caps/>
      <w:color w:val="0070C0"/>
      <w:spacing w:val="-4"/>
      <w:kern w:val="28"/>
      <w:sz w:val="56"/>
      <w:szCs w:val="56"/>
      <w:lang w:val="tr-TR"/>
    </w:rPr>
  </w:style>
  <w:style w:type="character" w:customStyle="1" w:styleId="KonuBalChar">
    <w:name w:val="Konu Başlığı Char"/>
    <w:aliases w:val="Book Title Char"/>
    <w:basedOn w:val="VarsaylanParagrafYazTipi"/>
    <w:link w:val="KonuBal"/>
    <w:rsid w:val="00F7609C"/>
    <w:rPr>
      <w:rFonts w:asciiTheme="majorHAnsi" w:eastAsiaTheme="majorEastAsia" w:hAnsiTheme="majorHAnsi" w:cstheme="majorBidi"/>
      <w:caps/>
      <w:color w:val="0070C0"/>
      <w:spacing w:val="-4"/>
      <w:kern w:val="28"/>
      <w:sz w:val="56"/>
      <w:szCs w:val="56"/>
      <w:lang w:val="tr-TR" w:eastAsia="de-DE"/>
    </w:rPr>
  </w:style>
  <w:style w:type="paragraph" w:styleId="T1">
    <w:name w:val="toc 1"/>
    <w:basedOn w:val="Normal"/>
    <w:next w:val="Normal"/>
    <w:autoRedefine/>
    <w:uiPriority w:val="39"/>
    <w:unhideWhenUsed/>
    <w:rsid w:val="000B31CB"/>
    <w:pPr>
      <w:spacing w:after="100"/>
    </w:pPr>
  </w:style>
  <w:style w:type="paragraph" w:styleId="T2">
    <w:name w:val="toc 2"/>
    <w:basedOn w:val="Normal"/>
    <w:next w:val="Normal"/>
    <w:autoRedefine/>
    <w:uiPriority w:val="39"/>
    <w:unhideWhenUsed/>
    <w:rsid w:val="000B31CB"/>
    <w:pPr>
      <w:spacing w:after="100"/>
      <w:ind w:left="200"/>
    </w:pPr>
  </w:style>
  <w:style w:type="paragraph" w:customStyle="1" w:styleId="Yazarlar">
    <w:name w:val="Yazarlar"/>
    <w:link w:val="YazarlarChar"/>
    <w:qFormat/>
    <w:rsid w:val="000B31CB"/>
    <w:pPr>
      <w:spacing w:after="0" w:line="360" w:lineRule="auto"/>
      <w:jc w:val="center"/>
    </w:pPr>
    <w:rPr>
      <w:rFonts w:ascii="Times New Roman" w:eastAsia="Times New Roman" w:hAnsi="Times New Roman" w:cs="Times New Roman"/>
      <w:bCs/>
      <w:i/>
      <w:color w:val="0070C0"/>
      <w:sz w:val="24"/>
      <w:szCs w:val="24"/>
      <w:lang w:eastAsia="de-DE"/>
    </w:rPr>
  </w:style>
  <w:style w:type="paragraph" w:styleId="AltBilgi">
    <w:name w:val="footer"/>
    <w:basedOn w:val="Normal"/>
    <w:link w:val="AltBilgiChar"/>
    <w:uiPriority w:val="99"/>
    <w:unhideWhenUsed/>
    <w:rsid w:val="000B31CB"/>
    <w:pPr>
      <w:tabs>
        <w:tab w:val="center" w:pos="4680"/>
        <w:tab w:val="right" w:pos="9360"/>
      </w:tabs>
      <w:spacing w:before="0" w:after="0"/>
    </w:pPr>
  </w:style>
  <w:style w:type="character" w:customStyle="1" w:styleId="AltBilgiChar">
    <w:name w:val="Alt Bilgi Char"/>
    <w:basedOn w:val="VarsaylanParagrafYazTipi"/>
    <w:link w:val="AltBilgi"/>
    <w:uiPriority w:val="99"/>
    <w:rsid w:val="000B31CB"/>
    <w:rPr>
      <w:rFonts w:ascii="Times New Roman" w:eastAsia="Times New Roman" w:hAnsi="Times New Roman" w:cs="Times New Roman"/>
      <w:szCs w:val="20"/>
      <w:lang w:eastAsia="de-DE"/>
    </w:rPr>
  </w:style>
  <w:style w:type="character" w:customStyle="1" w:styleId="YazarlarChar">
    <w:name w:val="Yazarlar Char"/>
    <w:basedOn w:val="Balk1Char"/>
    <w:link w:val="Yazarlar"/>
    <w:rsid w:val="000B31CB"/>
    <w:rPr>
      <w:rFonts w:ascii="Times New Roman" w:eastAsia="Times New Roman" w:hAnsi="Times New Roman" w:cs="Times New Roman"/>
      <w:b w:val="0"/>
      <w:bCs/>
      <w:i/>
      <w:caps w:val="0"/>
      <w:color w:val="0070C0"/>
      <w:sz w:val="24"/>
      <w:szCs w:val="24"/>
      <w:lang w:eastAsia="de-DE"/>
    </w:rPr>
  </w:style>
  <w:style w:type="paragraph" w:styleId="Alnt">
    <w:name w:val="Quote"/>
    <w:basedOn w:val="Normal"/>
    <w:next w:val="Normal"/>
    <w:link w:val="AlntChar"/>
    <w:uiPriority w:val="29"/>
    <w:qFormat/>
    <w:rsid w:val="000B31CB"/>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0B31CB"/>
    <w:rPr>
      <w:rFonts w:ascii="Times New Roman" w:eastAsia="Times New Roman" w:hAnsi="Times New Roman" w:cs="Times New Roman"/>
      <w:i/>
      <w:iCs/>
      <w:color w:val="404040" w:themeColor="text1" w:themeTint="BF"/>
      <w:szCs w:val="20"/>
      <w:lang w:eastAsia="de-DE"/>
    </w:rPr>
  </w:style>
  <w:style w:type="character" w:styleId="Vurgu">
    <w:name w:val="Emphasis"/>
    <w:basedOn w:val="VarsaylanParagrafYazTipi"/>
    <w:uiPriority w:val="20"/>
    <w:qFormat/>
    <w:rsid w:val="000B31CB"/>
    <w:rPr>
      <w:b/>
      <w:iCs/>
      <w:color w:val="000000" w:themeColor="text1"/>
      <w:spacing w:val="4"/>
    </w:rPr>
  </w:style>
  <w:style w:type="paragraph" w:customStyle="1" w:styleId="ekilAltbal">
    <w:name w:val="Şekil Altbaşlığı"/>
    <w:basedOn w:val="Normal"/>
    <w:next w:val="Normal"/>
    <w:link w:val="ekilAltbalChar"/>
    <w:qFormat/>
    <w:rsid w:val="000B31CB"/>
    <w:pPr>
      <w:numPr>
        <w:numId w:val="3"/>
      </w:numPr>
      <w:jc w:val="center"/>
    </w:pPr>
  </w:style>
  <w:style w:type="character" w:customStyle="1" w:styleId="ekilAltbalChar">
    <w:name w:val="Şekil Altbaşlığı Char"/>
    <w:basedOn w:val="VarsaylanParagrafYazTipi"/>
    <w:link w:val="ekilAltbal"/>
    <w:rsid w:val="000B31CB"/>
    <w:rPr>
      <w:rFonts w:ascii="Times New Roman" w:eastAsia="Times New Roman" w:hAnsi="Times New Roman" w:cs="Times New Roman"/>
      <w:szCs w:val="20"/>
      <w:lang w:eastAsia="de-DE"/>
    </w:rPr>
  </w:style>
  <w:style w:type="paragraph" w:customStyle="1" w:styleId="zeteBalk">
    <w:name w:val="Özetçe Başlık"/>
    <w:basedOn w:val="Yazarlar"/>
    <w:link w:val="zeteBalkChar"/>
    <w:qFormat/>
    <w:rsid w:val="00F7609C"/>
    <w:rPr>
      <w:i w:val="0"/>
      <w:sz w:val="28"/>
      <w:lang w:val="tr-TR"/>
    </w:rPr>
  </w:style>
  <w:style w:type="paragraph" w:customStyle="1" w:styleId="zetemetin">
    <w:name w:val="Özetçe metin"/>
    <w:basedOn w:val="zeteBalk"/>
    <w:link w:val="zetemetinChar"/>
    <w:qFormat/>
    <w:rsid w:val="00F7609C"/>
    <w:pPr>
      <w:jc w:val="both"/>
    </w:pPr>
    <w:rPr>
      <w:color w:val="000000" w:themeColor="text1"/>
      <w:spacing w:val="-2"/>
      <w:sz w:val="22"/>
    </w:rPr>
  </w:style>
  <w:style w:type="character" w:customStyle="1" w:styleId="zeteBalkChar">
    <w:name w:val="Özetçe Başlık Char"/>
    <w:basedOn w:val="YazarlarChar"/>
    <w:link w:val="zeteBalk"/>
    <w:rsid w:val="00F7609C"/>
    <w:rPr>
      <w:rFonts w:ascii="Times New Roman" w:eastAsia="Times New Roman" w:hAnsi="Times New Roman" w:cs="Times New Roman"/>
      <w:b w:val="0"/>
      <w:bCs/>
      <w:i w:val="0"/>
      <w:caps w:val="0"/>
      <w:color w:val="0070C0"/>
      <w:sz w:val="28"/>
      <w:szCs w:val="24"/>
      <w:lang w:val="tr-TR" w:eastAsia="de-DE"/>
    </w:rPr>
  </w:style>
  <w:style w:type="character" w:customStyle="1" w:styleId="zetemetinChar">
    <w:name w:val="Özetçe metin Char"/>
    <w:basedOn w:val="zeteBalkChar"/>
    <w:link w:val="zetemetin"/>
    <w:rsid w:val="00F7609C"/>
    <w:rPr>
      <w:rFonts w:ascii="Times New Roman" w:eastAsia="Times New Roman" w:hAnsi="Times New Roman" w:cs="Times New Roman"/>
      <w:b w:val="0"/>
      <w:bCs/>
      <w:i w:val="0"/>
      <w:caps w:val="0"/>
      <w:color w:val="000000" w:themeColor="text1"/>
      <w:spacing w:val="-2"/>
      <w:sz w:val="28"/>
      <w:szCs w:val="24"/>
      <w:lang w:val="tr-TR" w:eastAsia="de-DE"/>
    </w:rPr>
  </w:style>
  <w:style w:type="paragraph" w:customStyle="1" w:styleId="Liste-numaral">
    <w:name w:val="Liste-numaralı"/>
    <w:basedOn w:val="Liste"/>
    <w:link w:val="Liste-numaralChar"/>
    <w:qFormat/>
    <w:rsid w:val="000B31CB"/>
    <w:pPr>
      <w:numPr>
        <w:numId w:val="2"/>
      </w:numPr>
      <w:spacing w:before="120" w:after="120"/>
    </w:pPr>
    <w:rPr>
      <w:lang w:val="tr-TR"/>
    </w:rPr>
  </w:style>
  <w:style w:type="character" w:customStyle="1" w:styleId="Liste-numaralChar">
    <w:name w:val="Liste-numaralı Char"/>
    <w:basedOn w:val="VarsaylanParagrafYazTipi"/>
    <w:link w:val="Liste-numaral"/>
    <w:rsid w:val="000B31CB"/>
    <w:rPr>
      <w:rFonts w:ascii="Times New Roman" w:eastAsia="Times New Roman" w:hAnsi="Times New Roman" w:cs="Times New Roman"/>
      <w:szCs w:val="20"/>
      <w:lang w:val="tr-TR" w:eastAsia="de-DE"/>
    </w:rPr>
  </w:style>
  <w:style w:type="paragraph" w:styleId="Liste">
    <w:name w:val="List"/>
    <w:basedOn w:val="Normal"/>
    <w:uiPriority w:val="99"/>
    <w:semiHidden/>
    <w:unhideWhenUsed/>
    <w:rsid w:val="000B31CB"/>
    <w:pPr>
      <w:ind w:left="360" w:hanging="360"/>
      <w:contextualSpacing/>
    </w:pPr>
  </w:style>
  <w:style w:type="paragraph" w:customStyle="1" w:styleId="TablostYaz">
    <w:name w:val="Tablo Üst Yazı"/>
    <w:basedOn w:val="Normal"/>
    <w:next w:val="Normal"/>
    <w:qFormat/>
    <w:rsid w:val="00162878"/>
    <w:pPr>
      <w:numPr>
        <w:numId w:val="5"/>
      </w:numPr>
    </w:pPr>
    <w:rPr>
      <w:lang w:val="tr-TR"/>
    </w:rPr>
  </w:style>
  <w:style w:type="paragraph" w:customStyle="1" w:styleId="KaynakaBalk">
    <w:name w:val="Kaynakça Başlık"/>
    <w:qFormat/>
    <w:rsid w:val="0075388E"/>
    <w:pPr>
      <w:spacing w:before="120" w:after="120" w:line="240" w:lineRule="auto"/>
    </w:pPr>
    <w:rPr>
      <w:rFonts w:ascii="Times New Roman" w:eastAsia="Times New Roman" w:hAnsi="Times New Roman" w:cs="Times New Roman"/>
      <w:b/>
      <w:sz w:val="24"/>
      <w:szCs w:val="20"/>
      <w:lang w:eastAsia="de-DE"/>
    </w:rPr>
  </w:style>
  <w:style w:type="paragraph" w:customStyle="1" w:styleId="Kaynaka">
    <w:name w:val="Kaynakça"/>
    <w:basedOn w:val="Normal"/>
    <w:link w:val="KaynakaChar"/>
    <w:qFormat/>
    <w:rsid w:val="00F7609C"/>
    <w:pPr>
      <w:overflowPunct/>
      <w:autoSpaceDE/>
      <w:autoSpaceDN/>
      <w:adjustRightInd/>
      <w:spacing w:before="0" w:after="0"/>
      <w:ind w:left="482" w:hanging="482"/>
      <w:textAlignment w:val="auto"/>
    </w:pPr>
    <w:rPr>
      <w:szCs w:val="24"/>
      <w:lang w:val="tr-TR" w:eastAsia="tr-TR"/>
    </w:rPr>
  </w:style>
  <w:style w:type="character" w:customStyle="1" w:styleId="KaynakaChar">
    <w:name w:val="Kaynakça Char"/>
    <w:basedOn w:val="VarsaylanParagrafYazTipi"/>
    <w:link w:val="Kaynaka"/>
    <w:rsid w:val="00F7609C"/>
    <w:rPr>
      <w:rFonts w:ascii="Times New Roman" w:eastAsia="Times New Roman" w:hAnsi="Times New Roman" w:cs="Times New Roman"/>
      <w:szCs w:val="24"/>
      <w:lang w:val="tr-TR" w:eastAsia="tr-TR"/>
    </w:rPr>
  </w:style>
  <w:style w:type="paragraph" w:customStyle="1" w:styleId="GENELMETIN">
    <w:name w:val="GENEL_METIN"/>
    <w:basedOn w:val="Balk2"/>
    <w:link w:val="GENELMETINChar"/>
    <w:rsid w:val="00F7609C"/>
    <w:pPr>
      <w:keepLines/>
      <w:tabs>
        <w:tab w:val="left" w:pos="426"/>
      </w:tabs>
      <w:overflowPunct/>
      <w:autoSpaceDE/>
      <w:autoSpaceDN/>
      <w:adjustRightInd/>
      <w:spacing w:after="120" w:line="360" w:lineRule="auto"/>
      <w:jc w:val="both"/>
      <w:textAlignment w:val="auto"/>
      <w:outlineLvl w:val="9"/>
    </w:pPr>
    <w:rPr>
      <w:rFonts w:eastAsiaTheme="majorEastAsia" w:cstheme="majorBidi"/>
      <w:b w:val="0"/>
      <w:color w:val="000000" w:themeColor="text1"/>
      <w:sz w:val="22"/>
      <w:szCs w:val="26"/>
      <w:lang w:val="tr-TR" w:eastAsia="en-US"/>
    </w:rPr>
  </w:style>
  <w:style w:type="character" w:customStyle="1" w:styleId="GENELMETINChar">
    <w:name w:val="GENEL_METIN Char"/>
    <w:basedOn w:val="VarsaylanParagrafYazTipi"/>
    <w:link w:val="GENELMETIN"/>
    <w:rsid w:val="00F7609C"/>
    <w:rPr>
      <w:rFonts w:ascii="Times New Roman" w:eastAsiaTheme="majorEastAsia" w:hAnsi="Times New Roman" w:cstheme="majorBidi"/>
      <w:color w:val="000000" w:themeColor="text1"/>
      <w:szCs w:val="26"/>
      <w:lang w:val="tr-TR"/>
    </w:rPr>
  </w:style>
  <w:style w:type="table" w:styleId="TabloKlavuzu">
    <w:name w:val="Table Grid"/>
    <w:basedOn w:val="NormalTablo"/>
    <w:uiPriority w:val="39"/>
    <w:rsid w:val="00F7609C"/>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7609C"/>
    <w:pPr>
      <w:tabs>
        <w:tab w:val="center" w:pos="4536"/>
        <w:tab w:val="right" w:pos="9072"/>
      </w:tabs>
      <w:spacing w:before="0" w:after="0"/>
    </w:pPr>
  </w:style>
  <w:style w:type="character" w:customStyle="1" w:styleId="stBilgiChar">
    <w:name w:val="Üst Bilgi Char"/>
    <w:basedOn w:val="VarsaylanParagrafYazTipi"/>
    <w:link w:val="stBilgi"/>
    <w:uiPriority w:val="99"/>
    <w:rsid w:val="00F7609C"/>
    <w:rPr>
      <w:rFonts w:ascii="Times New Roman" w:eastAsia="Times New Roman" w:hAnsi="Times New Roman" w:cs="Times New Roman"/>
      <w:szCs w:val="20"/>
      <w:lang w:eastAsia="de-DE"/>
    </w:rPr>
  </w:style>
  <w:style w:type="character" w:styleId="DipnotBavurusu">
    <w:name w:val="footnote reference"/>
    <w:basedOn w:val="VarsaylanParagrafYazTipi"/>
    <w:uiPriority w:val="99"/>
    <w:semiHidden/>
    <w:unhideWhenUsed/>
    <w:rsid w:val="0075388E"/>
    <w:rPr>
      <w:vertAlign w:val="superscript"/>
    </w:rPr>
  </w:style>
  <w:style w:type="paragraph" w:customStyle="1" w:styleId="DIPNOT">
    <w:name w:val="DIPNOT"/>
    <w:basedOn w:val="DipnotMetni"/>
    <w:link w:val="DIPNOTChar"/>
    <w:qFormat/>
    <w:rsid w:val="0075388E"/>
    <w:pPr>
      <w:overflowPunct/>
      <w:autoSpaceDE/>
      <w:autoSpaceDN/>
      <w:adjustRightInd/>
      <w:ind w:firstLine="0"/>
      <w:textAlignment w:val="auto"/>
    </w:pPr>
    <w:rPr>
      <w:sz w:val="18"/>
      <w:lang w:val="tr-TR"/>
    </w:rPr>
  </w:style>
  <w:style w:type="character" w:customStyle="1" w:styleId="DIPNOTChar">
    <w:name w:val="DIPNOT Char"/>
    <w:basedOn w:val="DipnotMetniChar"/>
    <w:link w:val="DIPNOT"/>
    <w:rsid w:val="0075388E"/>
    <w:rPr>
      <w:rFonts w:ascii="Times New Roman" w:eastAsia="Times New Roman" w:hAnsi="Times New Roman" w:cs="Times New Roman"/>
      <w:sz w:val="18"/>
      <w:szCs w:val="20"/>
      <w:lang w:val="tr-TR" w:eastAsia="de-DE"/>
    </w:rPr>
  </w:style>
  <w:style w:type="paragraph" w:styleId="DipnotMetni">
    <w:name w:val="footnote text"/>
    <w:basedOn w:val="Normal"/>
    <w:link w:val="DipnotMetniChar"/>
    <w:uiPriority w:val="99"/>
    <w:semiHidden/>
    <w:unhideWhenUsed/>
    <w:rsid w:val="0075388E"/>
    <w:pPr>
      <w:spacing w:before="0" w:after="0"/>
    </w:pPr>
    <w:rPr>
      <w:sz w:val="20"/>
    </w:rPr>
  </w:style>
  <w:style w:type="character" w:customStyle="1" w:styleId="DipnotMetniChar">
    <w:name w:val="Dipnot Metni Char"/>
    <w:basedOn w:val="VarsaylanParagrafYazTipi"/>
    <w:link w:val="DipnotMetni"/>
    <w:uiPriority w:val="99"/>
    <w:semiHidden/>
    <w:rsid w:val="0075388E"/>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14356007.a11_307" TargetMode="External"/><Relationship Id="rId13" Type="http://schemas.openxmlformats.org/officeDocument/2006/relationships/hyperlink" Target="https://doi.org/10.1016/0022-0728(82)87097-6" TargetMode="External"/><Relationship Id="rId18" Type="http://schemas.openxmlformats.org/officeDocument/2006/relationships/hyperlink" Target="https://doi.org/10.1063/1.3616047" TargetMode="External"/><Relationship Id="rId26" Type="http://schemas.openxmlformats.org/officeDocument/2006/relationships/hyperlink" Target="https://doi.org/10.1039/C8RA00061A" TargetMode="External"/><Relationship Id="rId3" Type="http://schemas.openxmlformats.org/officeDocument/2006/relationships/settings" Target="settings.xml"/><Relationship Id="rId21" Type="http://schemas.openxmlformats.org/officeDocument/2006/relationships/hyperlink" Target="https://doi.org/10.1021/acs.jpca.6b06227" TargetMode="External"/><Relationship Id="rId7" Type="http://schemas.openxmlformats.org/officeDocument/2006/relationships/image" Target="media/image1.jpeg"/><Relationship Id="rId12" Type="http://schemas.openxmlformats.org/officeDocument/2006/relationships/hyperlink" Target="https://doi.org/10.1063/1.3455708" TargetMode="External"/><Relationship Id="rId17" Type="http://schemas.openxmlformats.org/officeDocument/2006/relationships/hyperlink" Target="https://doi.org/10.1016/j.jcrysgro.2012.10.061" TargetMode="External"/><Relationship Id="rId25" Type="http://schemas.openxmlformats.org/officeDocument/2006/relationships/hyperlink" Target="https://doi.org/10.1063/1.4936406" TargetMode="External"/><Relationship Id="rId2" Type="http://schemas.openxmlformats.org/officeDocument/2006/relationships/styles" Target="styles.xml"/><Relationship Id="rId16" Type="http://schemas.openxmlformats.org/officeDocument/2006/relationships/hyperlink" Target="https://doi.org/10.1002/9781118892336" TargetMode="External"/><Relationship Id="rId20" Type="http://schemas.openxmlformats.org/officeDocument/2006/relationships/hyperlink" Target="https://doi.org/10.1016/S0010-8545(00)80099-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B978-0-7216-6706-5.X0001-7" TargetMode="External"/><Relationship Id="rId24" Type="http://schemas.openxmlformats.org/officeDocument/2006/relationships/hyperlink" Target="https://doi.org/10.1063/1.494534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351/PAC-CON-09-07-02" TargetMode="External"/><Relationship Id="rId23" Type="http://schemas.openxmlformats.org/officeDocument/2006/relationships/hyperlink" Target="https://doi.org/10.1016/0160-9327(88)90181-0" TargetMode="External"/><Relationship Id="rId28" Type="http://schemas.openxmlformats.org/officeDocument/2006/relationships/header" Target="header2.xml"/><Relationship Id="rId10" Type="http://schemas.openxmlformats.org/officeDocument/2006/relationships/hyperlink" Target="https://doi.org/10.1103/PhysRevB.2.5068" TargetMode="External"/><Relationship Id="rId19" Type="http://schemas.openxmlformats.org/officeDocument/2006/relationships/hyperlink" Target="https://doi.org/10.1016/j.bpc.2004.06.0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4324/9780080573304" TargetMode="External"/><Relationship Id="rId14" Type="http://schemas.openxmlformats.org/officeDocument/2006/relationships/hyperlink" Target="https://doi.org/10.1021/ja4006942" TargetMode="External"/><Relationship Id="rId22" Type="http://schemas.openxmlformats.org/officeDocument/2006/relationships/hyperlink" Target="https://doi.org/10.1007/978-3-319-32489-0_2"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1365</Words>
  <Characters>7786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Personel</cp:lastModifiedBy>
  <cp:revision>2</cp:revision>
  <dcterms:created xsi:type="dcterms:W3CDTF">2023-06-09T10:56:00Z</dcterms:created>
  <dcterms:modified xsi:type="dcterms:W3CDTF">2023-06-09T10:56:00Z</dcterms:modified>
</cp:coreProperties>
</file>